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3501" w14:textId="77777777" w:rsidR="00446CB0" w:rsidRPr="00A55E60" w:rsidRDefault="00900E9D" w:rsidP="00900E9D">
      <w:pPr>
        <w:jc w:val="center"/>
        <w:rPr>
          <w:b/>
          <w:u w:val="single"/>
        </w:rPr>
      </w:pPr>
      <w:r w:rsidRPr="00A55E60">
        <w:rPr>
          <w:b/>
          <w:u w:val="single"/>
        </w:rPr>
        <w:t xml:space="preserve">Load Balancing </w:t>
      </w:r>
      <w:r w:rsidR="0044024D">
        <w:rPr>
          <w:b/>
          <w:u w:val="single"/>
        </w:rPr>
        <w:t>Procedures f</w:t>
      </w:r>
      <w:r w:rsidRPr="00A55E60">
        <w:rPr>
          <w:b/>
          <w:u w:val="single"/>
        </w:rPr>
        <w:t>or Full Time Faculty</w:t>
      </w:r>
    </w:p>
    <w:p w14:paraId="65282746" w14:textId="77777777" w:rsidR="00900E9D" w:rsidRPr="00702202" w:rsidRDefault="00900E9D">
      <w:pPr>
        <w:rPr>
          <w:sz w:val="22"/>
          <w:szCs w:val="22"/>
        </w:rPr>
      </w:pPr>
    </w:p>
    <w:p w14:paraId="5077A64F" w14:textId="77777777" w:rsidR="00A0353B" w:rsidRPr="00A55E60" w:rsidRDefault="00A0353B" w:rsidP="00900E9D">
      <w:r w:rsidRPr="00A55E60">
        <w:t xml:space="preserve">Reference </w:t>
      </w:r>
      <w:r w:rsidR="00900E9D" w:rsidRPr="00A55E60">
        <w:t>LRCFT – 4.6.</w:t>
      </w:r>
      <w:r w:rsidR="00DE7DD6">
        <w:t>2</w:t>
      </w:r>
      <w:r w:rsidRPr="00A55E60">
        <w:t xml:space="preserve"> for specifics.</w:t>
      </w:r>
    </w:p>
    <w:p w14:paraId="19340489" w14:textId="77777777" w:rsidR="00F960DA" w:rsidRPr="00A55E60" w:rsidRDefault="00F960DA" w:rsidP="00900E9D"/>
    <w:p w14:paraId="7B9EBB75" w14:textId="0BB1B58F" w:rsidR="00F960DA" w:rsidRPr="00A55E60" w:rsidRDefault="00F960DA" w:rsidP="00900E9D">
      <w:r w:rsidRPr="00A55E60">
        <w:t xml:space="preserve">Due to the complexities related to course scheduling, classroom faculty can “balance” their load requirement over four semesters. </w:t>
      </w:r>
      <w:r w:rsidR="006A6DAE" w:rsidRPr="00A55E60">
        <w:t xml:space="preserve"> </w:t>
      </w:r>
      <w:r w:rsidRPr="00A55E60">
        <w:t>What this means is that for any given term in the four term period, their regular load might be higher or lower than 15 fo</w:t>
      </w:r>
      <w:r w:rsidR="006A6DAE" w:rsidRPr="00A55E60">
        <w:t>r</w:t>
      </w:r>
      <w:r w:rsidRPr="00A55E60">
        <w:t xml:space="preserve">mula hours or 1.0 FTE. </w:t>
      </w:r>
      <w:r w:rsidR="006A6DAE" w:rsidRPr="00A55E60">
        <w:t xml:space="preserve"> </w:t>
      </w:r>
      <w:r w:rsidRPr="00A55E60">
        <w:t>But when the loads for all four terms are added together, they will total 60 formula hours or 4.0</w:t>
      </w:r>
      <w:r w:rsidR="00A61871">
        <w:t xml:space="preserve"> FTE</w:t>
      </w:r>
      <w:r w:rsidR="006A3650" w:rsidRPr="00A55E60">
        <w:t>.</w:t>
      </w:r>
    </w:p>
    <w:p w14:paraId="138A607B" w14:textId="77777777" w:rsidR="006A6DAE" w:rsidRPr="00A55E60" w:rsidRDefault="006A6DAE" w:rsidP="00900E9D"/>
    <w:p w14:paraId="3EA41498" w14:textId="75F6916B" w:rsidR="00F960DA" w:rsidRPr="00A55E60" w:rsidRDefault="00F960DA" w:rsidP="00F960DA">
      <w:r w:rsidRPr="00A55E60">
        <w:t xml:space="preserve">Load balancing can occur because a low-enrolled class is cancelled or because the FTE associated with the scheduled classes for a given term is slightly above or below 1.0 </w:t>
      </w:r>
      <w:r w:rsidR="00A61871">
        <w:t xml:space="preserve">FTE </w:t>
      </w:r>
      <w:r w:rsidRPr="00A55E60">
        <w:t>or 15 formula hours.</w:t>
      </w:r>
      <w:r w:rsidR="006A6DAE" w:rsidRPr="00A55E60">
        <w:t xml:space="preserve"> </w:t>
      </w:r>
      <w:r w:rsidRPr="00A55E60">
        <w:t xml:space="preserve"> Load balancing is not the same as load banking. </w:t>
      </w:r>
    </w:p>
    <w:p w14:paraId="37B6D0C1" w14:textId="77777777" w:rsidR="00A0353B" w:rsidRPr="00A55E60" w:rsidRDefault="00A0353B" w:rsidP="00900E9D"/>
    <w:p w14:paraId="7B73452A" w14:textId="3F5B0A22" w:rsidR="00D73A75" w:rsidRDefault="00900E9D" w:rsidP="00900E9D">
      <w:r w:rsidRPr="00A55E60">
        <w:t xml:space="preserve">Over a </w:t>
      </w:r>
      <w:r w:rsidR="00F960DA" w:rsidRPr="00A55E60">
        <w:t>two</w:t>
      </w:r>
      <w:r w:rsidRPr="00A55E60">
        <w:t xml:space="preserve"> year </w:t>
      </w:r>
      <w:r w:rsidR="00F960DA" w:rsidRPr="00A55E60">
        <w:t xml:space="preserve">(four semester) </w:t>
      </w:r>
      <w:r w:rsidRPr="00A55E60">
        <w:t>period</w:t>
      </w:r>
      <w:r w:rsidR="00F960DA" w:rsidRPr="00A55E60">
        <w:t>,</w:t>
      </w:r>
      <w:r w:rsidRPr="00A55E60">
        <w:t xml:space="preserve"> </w:t>
      </w:r>
      <w:r w:rsidR="00F960DA" w:rsidRPr="00A55E60">
        <w:t xml:space="preserve">a full-time </w:t>
      </w:r>
      <w:r w:rsidRPr="00A55E60">
        <w:t>faculty</w:t>
      </w:r>
      <w:r w:rsidR="00F960DA" w:rsidRPr="00A55E60">
        <w:t xml:space="preserve"> credit</w:t>
      </w:r>
      <w:r w:rsidRPr="00A55E60">
        <w:t xml:space="preserve"> load is 60 formula hours</w:t>
      </w:r>
      <w:r w:rsidR="00A61871">
        <w:t xml:space="preserve"> (4.0 FTE)</w:t>
      </w:r>
      <w:r w:rsidRPr="00A55E60">
        <w:t>.</w:t>
      </w:r>
      <w:r w:rsidR="00A0353B" w:rsidRPr="00A55E60">
        <w:t xml:space="preserve"> </w:t>
      </w:r>
      <w:r w:rsidR="006A6DAE" w:rsidRPr="00A55E60">
        <w:t xml:space="preserve"> </w:t>
      </w:r>
      <w:r w:rsidRPr="00A55E60">
        <w:t xml:space="preserve">At the end of </w:t>
      </w:r>
      <w:r w:rsidR="00F960DA" w:rsidRPr="00A55E60">
        <w:t>each two</w:t>
      </w:r>
      <w:r w:rsidRPr="00A55E60">
        <w:t xml:space="preserve"> year period</w:t>
      </w:r>
      <w:r w:rsidR="00F960DA" w:rsidRPr="00A55E60">
        <w:t>,</w:t>
      </w:r>
      <w:r w:rsidRPr="00A55E60">
        <w:t xml:space="preserve"> formula hours </w:t>
      </w:r>
      <w:r w:rsidRPr="00E0062C">
        <w:rPr>
          <w:b/>
          <w:i/>
          <w:u w:val="single"/>
        </w:rPr>
        <w:t>greater</w:t>
      </w:r>
      <w:r w:rsidRPr="00A55E60">
        <w:t xml:space="preserve"> th</w:t>
      </w:r>
      <w:r w:rsidR="00F960DA" w:rsidRPr="00A55E60">
        <w:t>a</w:t>
      </w:r>
      <w:r w:rsidRPr="00A55E60">
        <w:t>n 6</w:t>
      </w:r>
      <w:r w:rsidR="00F960DA" w:rsidRPr="00A55E60">
        <w:t>0</w:t>
      </w:r>
      <w:r w:rsidRPr="00A55E60">
        <w:t xml:space="preserve"> in the instructional mode (by an amount equivalent to or greater than .067 FTE or 1 formula hour) shall be paid as overload (Schedule B)</w:t>
      </w:r>
      <w:r w:rsidR="00D73A75">
        <w:t xml:space="preserve"> via a memo from the Vice President of Instruction</w:t>
      </w:r>
      <w:r w:rsidRPr="00A55E60">
        <w:t xml:space="preserve">.  </w:t>
      </w:r>
    </w:p>
    <w:p w14:paraId="10316049" w14:textId="77777777" w:rsidR="00D73A75" w:rsidRDefault="00D73A75" w:rsidP="00900E9D"/>
    <w:p w14:paraId="51478618" w14:textId="0611D8BA" w:rsidR="00D73A75" w:rsidRPr="00A55E60" w:rsidRDefault="00D73A75" w:rsidP="00D73A75">
      <w:r w:rsidRPr="00A55E60">
        <w:t xml:space="preserve">In the uncommon occurrence in which a faculty member may be </w:t>
      </w:r>
      <w:r w:rsidRPr="00E0062C">
        <w:rPr>
          <w:b/>
          <w:i/>
          <w:u w:val="single"/>
        </w:rPr>
        <w:t>below</w:t>
      </w:r>
      <w:r w:rsidRPr="00A55E60">
        <w:t xml:space="preserve"> 60 formula hours at the end of the two year load balancing period</w:t>
      </w:r>
      <w:r>
        <w:t xml:space="preserve"> (by an amount equivalent to or greater than .067 FTE or 1 formula hour)</w:t>
      </w:r>
      <w:r w:rsidRPr="00A55E60">
        <w:t xml:space="preserve">, when possible, the balance left should be completed the Summer term following the end of the two year load balancing period.  </w:t>
      </w:r>
      <w:r w:rsidR="00E67541">
        <w:t xml:space="preserve">If the balance </w:t>
      </w:r>
      <w:r w:rsidR="00E0062C">
        <w:t xml:space="preserve">left </w:t>
      </w:r>
      <w:r w:rsidR="00E67541">
        <w:t>cannot be finished in the Summer term, i</w:t>
      </w:r>
      <w:r w:rsidRPr="00A55E60">
        <w:t>t may be necessary to complete the balance</w:t>
      </w:r>
      <w:r w:rsidR="00E67541">
        <w:t xml:space="preserve"> </w:t>
      </w:r>
      <w:r w:rsidR="003A7627">
        <w:t>th</w:t>
      </w:r>
      <w:r w:rsidRPr="00A55E60">
        <w:t>e following Fall/Spring semester</w:t>
      </w:r>
      <w:r w:rsidR="00E67541">
        <w:t xml:space="preserve">.  If so, </w:t>
      </w:r>
      <w:r w:rsidRPr="00A55E60">
        <w:t>this is only allowed by mutual agreement</w:t>
      </w:r>
      <w:r w:rsidR="00E67541">
        <w:t xml:space="preserve"> of all parties, by completing the</w:t>
      </w:r>
      <w:r w:rsidRPr="00A55E60">
        <w:t xml:space="preserve"> </w:t>
      </w:r>
      <w:hyperlink r:id="rId5" w:history="1">
        <w:r w:rsidRPr="00A61871">
          <w:rPr>
            <w:rStyle w:val="Hyperlink"/>
          </w:rPr>
          <w:t xml:space="preserve">“Load Balancing Agreement – Teaching 60 Formula Hours over a Four-Semester Period” </w:t>
        </w:r>
        <w:r w:rsidR="00E67541" w:rsidRPr="00A61871">
          <w:rPr>
            <w:rStyle w:val="Hyperlink"/>
          </w:rPr>
          <w:t>(P-144)</w:t>
        </w:r>
      </w:hyperlink>
      <w:r w:rsidR="00E67541">
        <w:t xml:space="preserve"> </w:t>
      </w:r>
      <w:r w:rsidRPr="00A55E60">
        <w:t>form</w:t>
      </w:r>
      <w:r w:rsidR="00E67541">
        <w:t xml:space="preserve"> </w:t>
      </w:r>
      <w:r w:rsidR="00504611">
        <w:t>(</w:t>
      </w:r>
      <w:r w:rsidR="00504611" w:rsidRPr="00A55E60">
        <w:t>available at the Los Rios Human Resources website</w:t>
      </w:r>
      <w:r w:rsidR="00504611">
        <w:t>)</w:t>
      </w:r>
      <w:r w:rsidRPr="00A55E60">
        <w:t>.</w:t>
      </w:r>
      <w:r>
        <w:t xml:space="preserve">  </w:t>
      </w:r>
      <w:r w:rsidRPr="00A55E60">
        <w:t xml:space="preserve">Otherwise, a loss of pay </w:t>
      </w:r>
      <w:r>
        <w:t>must</w:t>
      </w:r>
      <w:r w:rsidRPr="00A55E60">
        <w:t xml:space="preserve"> be reported to HR and Payroll for processing</w:t>
      </w:r>
      <w:r>
        <w:t xml:space="preserve"> via a memo from the Vice President of Instruction</w:t>
      </w:r>
      <w:r w:rsidRPr="00A55E60">
        <w:t xml:space="preserve">.  </w:t>
      </w:r>
      <w:r>
        <w:t xml:space="preserve"> </w:t>
      </w:r>
    </w:p>
    <w:p w14:paraId="3FF01BB0" w14:textId="77777777" w:rsidR="00450118" w:rsidRPr="00A55E60" w:rsidRDefault="00450118" w:rsidP="00900E9D"/>
    <w:p w14:paraId="79630806" w14:textId="674E0393" w:rsidR="00450118" w:rsidRPr="00A55E60" w:rsidRDefault="00450118" w:rsidP="00900E9D">
      <w:r w:rsidRPr="00A55E60">
        <w:t xml:space="preserve">Load </w:t>
      </w:r>
      <w:r w:rsidR="008A1F37">
        <w:t xml:space="preserve">balancing </w:t>
      </w:r>
      <w:r w:rsidRPr="00A55E60">
        <w:t>total</w:t>
      </w:r>
      <w:r w:rsidR="008A1F37">
        <w:t>s</w:t>
      </w:r>
      <w:r w:rsidRPr="00A55E60">
        <w:t xml:space="preserve"> </w:t>
      </w:r>
      <w:r w:rsidR="00312505">
        <w:t xml:space="preserve">with formula hours </w:t>
      </w:r>
      <w:r w:rsidR="00FB6465">
        <w:t>over</w:t>
      </w:r>
      <w:r w:rsidR="00FB6465" w:rsidRPr="00A55E60">
        <w:t xml:space="preserve"> </w:t>
      </w:r>
      <w:r w:rsidRPr="00A55E60">
        <w:t xml:space="preserve">59.0 </w:t>
      </w:r>
      <w:r w:rsidR="00FB6465">
        <w:t xml:space="preserve">and up </w:t>
      </w:r>
      <w:r w:rsidRPr="00A55E60">
        <w:t xml:space="preserve">to </w:t>
      </w:r>
      <w:r w:rsidR="00D6593A">
        <w:t xml:space="preserve"> </w:t>
      </w:r>
      <w:r w:rsidRPr="00A55E60">
        <w:t xml:space="preserve">61.0 </w:t>
      </w:r>
      <w:r w:rsidRPr="00E0062C">
        <w:rPr>
          <w:b/>
          <w:i/>
          <w:u w:val="single"/>
        </w:rPr>
        <w:t>will not be adjusted</w:t>
      </w:r>
      <w:r w:rsidRPr="00A55E60">
        <w:t xml:space="preserve">. </w:t>
      </w:r>
      <w:r w:rsidR="006A6DAE" w:rsidRPr="00A55E60">
        <w:t xml:space="preserve"> </w:t>
      </w:r>
      <w:r w:rsidRPr="00A55E60">
        <w:t>However, if paying off or reporting a loss of pay, the full amount (</w:t>
      </w:r>
      <w:proofErr w:type="gramStart"/>
      <w:r w:rsidRPr="00A55E60">
        <w:t>in excess of</w:t>
      </w:r>
      <w:proofErr w:type="gramEnd"/>
      <w:r w:rsidRPr="00A55E60">
        <w:t xml:space="preserve"> 60 or short of 60) is considered.</w:t>
      </w:r>
    </w:p>
    <w:p w14:paraId="6737CD42" w14:textId="77777777" w:rsidR="00900E9D" w:rsidRPr="00A55E60" w:rsidRDefault="00900E9D"/>
    <w:p w14:paraId="641570B8" w14:textId="01C3A92F" w:rsidR="005532F8" w:rsidRPr="00A55E60" w:rsidRDefault="005532F8">
      <w:r>
        <w:t>The Vice President of the Instruction office shall submit a memo to Human Resources which specific information on load balances that need to be paid off.</w:t>
      </w:r>
    </w:p>
    <w:p w14:paraId="0301BD77" w14:textId="77777777" w:rsidR="001F5D91" w:rsidRPr="00A55E60" w:rsidRDefault="001F5D91"/>
    <w:p w14:paraId="74CE2078" w14:textId="40FFFBCC" w:rsidR="001F5D91" w:rsidRPr="00A55E60" w:rsidRDefault="00A47B29">
      <w:r w:rsidRPr="00A55E60">
        <w:t xml:space="preserve">Since the </w:t>
      </w:r>
      <w:r w:rsidR="00A55E60" w:rsidRPr="00A55E60">
        <w:t>l</w:t>
      </w:r>
      <w:r w:rsidRPr="00A55E60">
        <w:t xml:space="preserve">oad </w:t>
      </w:r>
      <w:r w:rsidR="00A55E60" w:rsidRPr="00A55E60">
        <w:t>b</w:t>
      </w:r>
      <w:r w:rsidRPr="00A55E60">
        <w:t xml:space="preserve">alancing FTE is </w:t>
      </w:r>
      <w:r w:rsidR="00D6593A">
        <w:t>being paid as</w:t>
      </w:r>
      <w:r w:rsidR="00D73A75">
        <w:t xml:space="preserve"> overload</w:t>
      </w:r>
      <w:r w:rsidRPr="00A55E60">
        <w:t xml:space="preserve"> earning</w:t>
      </w:r>
      <w:r w:rsidR="00D73A75">
        <w:t>s</w:t>
      </w:r>
      <w:r w:rsidRPr="00A55E60">
        <w:t>, t</w:t>
      </w:r>
      <w:r w:rsidR="001F5D91" w:rsidRPr="00A55E60">
        <w:t xml:space="preserve">he FTE paid for </w:t>
      </w:r>
      <w:r w:rsidR="00D6593A">
        <w:t xml:space="preserve">as load </w:t>
      </w:r>
      <w:r w:rsidR="001F5D91" w:rsidRPr="00A55E60">
        <w:t>balanc</w:t>
      </w:r>
      <w:r w:rsidR="00D6593A">
        <w:t>ing</w:t>
      </w:r>
      <w:r w:rsidR="001F5D91" w:rsidRPr="00A55E60">
        <w:t xml:space="preserve"> </w:t>
      </w:r>
      <w:r w:rsidRPr="00A55E60">
        <w:t>will be counted</w:t>
      </w:r>
      <w:r w:rsidR="001F5D91" w:rsidRPr="00A55E60">
        <w:t xml:space="preserve"> towards </w:t>
      </w:r>
      <w:r w:rsidR="003D0C66" w:rsidRPr="00A55E60">
        <w:t xml:space="preserve">Salary </w:t>
      </w:r>
      <w:r w:rsidR="001F5D91" w:rsidRPr="00A55E60">
        <w:t xml:space="preserve">Step </w:t>
      </w:r>
      <w:r w:rsidR="00A0353B" w:rsidRPr="00A55E60">
        <w:t>Advancement</w:t>
      </w:r>
      <w:r w:rsidR="00450118" w:rsidRPr="00A55E60">
        <w:t xml:space="preserve"> on Schedule B</w:t>
      </w:r>
      <w:r w:rsidR="0010446F" w:rsidRPr="00A55E60">
        <w:t>.</w:t>
      </w:r>
      <w:r w:rsidR="00450118" w:rsidRPr="00A55E60">
        <w:t xml:space="preserve"> </w:t>
      </w:r>
    </w:p>
    <w:p w14:paraId="22C09C2D" w14:textId="77777777" w:rsidR="00702202" w:rsidRPr="00A55E60" w:rsidRDefault="00702202"/>
    <w:p w14:paraId="52342936" w14:textId="1ACFACBE" w:rsidR="00702202" w:rsidRPr="00A55E60" w:rsidRDefault="00A0353B" w:rsidP="00054576">
      <w:pPr>
        <w:ind w:right="-360"/>
      </w:pPr>
      <w:r w:rsidRPr="00A55E60">
        <w:t xml:space="preserve">Load </w:t>
      </w:r>
      <w:r w:rsidR="00A55E60" w:rsidRPr="00A55E60">
        <w:t>b</w:t>
      </w:r>
      <w:r w:rsidRPr="00A55E60">
        <w:t xml:space="preserve">alancing </w:t>
      </w:r>
      <w:r w:rsidR="00450118" w:rsidRPr="00A55E60">
        <w:t xml:space="preserve">periods end with the Spring </w:t>
      </w:r>
      <w:r w:rsidR="00A55E60">
        <w:t>semester</w:t>
      </w:r>
      <w:r w:rsidR="00450118" w:rsidRPr="00A55E60">
        <w:t xml:space="preserve"> of an even year</w:t>
      </w:r>
      <w:r w:rsidR="003D0C66" w:rsidRPr="00A55E60">
        <w:t xml:space="preserve"> (Spring 20</w:t>
      </w:r>
      <w:r w:rsidR="005532F8">
        <w:t>24</w:t>
      </w:r>
      <w:r w:rsidR="003D0C66" w:rsidRPr="00A55E60">
        <w:t>, Spring 20</w:t>
      </w:r>
      <w:r w:rsidR="005532F8">
        <w:t>26</w:t>
      </w:r>
      <w:r w:rsidR="003D0C66" w:rsidRPr="00A55E60">
        <w:t>, etc.)</w:t>
      </w:r>
      <w:r w:rsidR="005532F8">
        <w:t xml:space="preserve"> and load balance payouts should occur at the end of this two-year cycle.</w:t>
      </w:r>
      <w:r w:rsidR="00450118" w:rsidRPr="00A55E60">
        <w:t xml:space="preserve"> </w:t>
      </w:r>
      <w:r w:rsidR="003D0C66" w:rsidRPr="00A55E60">
        <w:t xml:space="preserve"> </w:t>
      </w:r>
    </w:p>
    <w:p w14:paraId="361DE5AB" w14:textId="77777777" w:rsidR="006A6DAE" w:rsidRPr="00A55E60" w:rsidRDefault="006A6DAE" w:rsidP="00054576">
      <w:pPr>
        <w:ind w:right="-360"/>
      </w:pPr>
    </w:p>
    <w:p w14:paraId="34009DEC" w14:textId="77777777" w:rsidR="007D6ABE" w:rsidRDefault="00CD68DE" w:rsidP="00054576">
      <w:pPr>
        <w:ind w:right="-360"/>
      </w:pPr>
      <w:r>
        <w:t xml:space="preserve">Excess load should not be paid by splitting a class between regular load and overload. For example, an instructor who has .10 excess regular load should not have a .20 lecture class split where half the hours are regular load and the other half paid as overload. However, a whole lecture or lab component of a class can be assigned as overload while the other component is regular load. </w:t>
      </w:r>
    </w:p>
    <w:p w14:paraId="1D6A42DA" w14:textId="77777777" w:rsidR="005532F8" w:rsidRDefault="005532F8" w:rsidP="00054576">
      <w:pPr>
        <w:ind w:right="-360"/>
      </w:pPr>
    </w:p>
    <w:p w14:paraId="0DFC42A5" w14:textId="77777777" w:rsidR="005532F8" w:rsidRDefault="005532F8" w:rsidP="00054576">
      <w:pPr>
        <w:ind w:right="-360"/>
      </w:pPr>
    </w:p>
    <w:p w14:paraId="52CC4AEA" w14:textId="77777777" w:rsidR="005532F8" w:rsidRDefault="005532F8" w:rsidP="00054576">
      <w:pPr>
        <w:ind w:right="-360"/>
      </w:pPr>
    </w:p>
    <w:p w14:paraId="37968080" w14:textId="77777777" w:rsidR="005532F8" w:rsidRDefault="005532F8" w:rsidP="00054576">
      <w:pPr>
        <w:ind w:right="-360"/>
      </w:pPr>
    </w:p>
    <w:p w14:paraId="3E754388" w14:textId="0A81FB68" w:rsidR="005532F8" w:rsidRPr="00D42AB1" w:rsidRDefault="005532F8" w:rsidP="00054576">
      <w:pPr>
        <w:ind w:right="-360"/>
        <w:rPr>
          <w:b/>
          <w:bCs/>
          <w:i/>
          <w:iCs/>
        </w:rPr>
      </w:pPr>
      <w:r w:rsidRPr="00D42AB1">
        <w:rPr>
          <w:b/>
          <w:bCs/>
          <w:i/>
          <w:iCs/>
        </w:rPr>
        <w:lastRenderedPageBreak/>
        <w:t>Examples:</w:t>
      </w:r>
    </w:p>
    <w:p w14:paraId="288464A0" w14:textId="77777777" w:rsidR="00903A11" w:rsidRDefault="00903A11" w:rsidP="00054576">
      <w:pPr>
        <w:ind w:right="-360"/>
      </w:pPr>
    </w:p>
    <w:bookmarkStart w:id="0" w:name="_MON_1768042311"/>
    <w:bookmarkEnd w:id="0"/>
    <w:p w14:paraId="41B1B6D6" w14:textId="53FB396B" w:rsidR="00903A11" w:rsidRDefault="004A7544" w:rsidP="00054576">
      <w:pPr>
        <w:ind w:right="-360"/>
      </w:pPr>
      <w:r>
        <w:object w:dxaOrig="9591" w:dyaOrig="4368" w14:anchorId="7AF65E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9.25pt;height:218.25pt" o:ole="">
            <v:imagedata r:id="rId6" o:title=""/>
          </v:shape>
          <o:OLEObject Type="Embed" ProgID="Excel.Sheet.12" ShapeID="_x0000_i1027" DrawAspect="Content" ObjectID="_1769253227" r:id="rId7"/>
        </w:object>
      </w:r>
    </w:p>
    <w:p w14:paraId="5117C82E" w14:textId="77777777" w:rsidR="005532F8" w:rsidRDefault="005532F8" w:rsidP="00054576">
      <w:pPr>
        <w:ind w:right="-360"/>
      </w:pPr>
    </w:p>
    <w:p w14:paraId="5F26113A" w14:textId="77777777" w:rsidR="009C0EA5" w:rsidRDefault="009C0EA5">
      <w:pPr>
        <w:rPr>
          <w:b/>
          <w:u w:val="single"/>
        </w:rPr>
      </w:pPr>
    </w:p>
    <w:p w14:paraId="3F3549FC" w14:textId="20123F3F" w:rsidR="009C0EA5" w:rsidRDefault="009C0EA5">
      <w:pPr>
        <w:rPr>
          <w:color w:val="000000"/>
        </w:rPr>
      </w:pPr>
      <w:r>
        <w:rPr>
          <w:color w:val="000000"/>
        </w:rPr>
        <w:t>Max FTE that can be scheduled as part of regular load over 4 semesters = 62 formula hours, or 4.133</w:t>
      </w:r>
      <w:r w:rsidR="0023273A">
        <w:rPr>
          <w:color w:val="000000"/>
        </w:rPr>
        <w:t xml:space="preserve"> FTE</w:t>
      </w:r>
      <w:r>
        <w:rPr>
          <w:color w:val="000000"/>
        </w:rPr>
        <w:t>.</w:t>
      </w:r>
    </w:p>
    <w:p w14:paraId="73230A76" w14:textId="77777777" w:rsidR="009C0EA5" w:rsidRDefault="009C0EA5">
      <w:pPr>
        <w:rPr>
          <w:color w:val="000000"/>
        </w:rPr>
      </w:pPr>
    </w:p>
    <w:p w14:paraId="09935906" w14:textId="77777777" w:rsidR="009C0EA5" w:rsidRPr="00FD04D9" w:rsidRDefault="009C0EA5" w:rsidP="009C0EA5">
      <w:pPr>
        <w:rPr>
          <w:b/>
          <w:bCs/>
          <w:i/>
          <w:iCs/>
          <w:color w:val="000000"/>
          <w:sz w:val="28"/>
          <w:szCs w:val="28"/>
          <w:u w:val="single"/>
        </w:rPr>
      </w:pPr>
      <w:r w:rsidRPr="00FD04D9">
        <w:rPr>
          <w:b/>
          <w:bCs/>
          <w:i/>
          <w:iCs/>
          <w:color w:val="000000"/>
          <w:sz w:val="28"/>
          <w:szCs w:val="28"/>
          <w:u w:val="single"/>
        </w:rPr>
        <w:t xml:space="preserve">Section 4.6.2 Excerpts: </w:t>
      </w:r>
    </w:p>
    <w:p w14:paraId="74CAE5A9" w14:textId="77777777" w:rsidR="009C0EA5" w:rsidRDefault="009C0EA5" w:rsidP="009C0EA5">
      <w:pPr>
        <w:rPr>
          <w:color w:val="000000"/>
        </w:rPr>
      </w:pPr>
    </w:p>
    <w:p w14:paraId="664EBB67" w14:textId="1B156945" w:rsidR="009C0EA5" w:rsidRPr="00D42AB1" w:rsidRDefault="009C0EA5" w:rsidP="00D42AB1">
      <w:pPr>
        <w:pStyle w:val="ListParagraph"/>
        <w:numPr>
          <w:ilvl w:val="0"/>
          <w:numId w:val="6"/>
        </w:numPr>
        <w:rPr>
          <w:color w:val="000000"/>
        </w:rPr>
      </w:pPr>
      <w:r w:rsidRPr="00D42AB1">
        <w:rPr>
          <w:color w:val="000000"/>
        </w:rPr>
        <w:t xml:space="preserve">If the faculty member is </w:t>
      </w:r>
      <w:r w:rsidRPr="00D42AB1">
        <w:rPr>
          <w:b/>
          <w:bCs/>
          <w:color w:val="000000"/>
        </w:rPr>
        <w:t>below</w:t>
      </w:r>
      <w:r w:rsidRPr="00D42AB1">
        <w:rPr>
          <w:color w:val="000000"/>
        </w:rPr>
        <w:t xml:space="preserve"> the sixty (60) formula hours for load balancing (</w:t>
      </w:r>
      <w:r w:rsidRPr="00D42AB1">
        <w:rPr>
          <w:b/>
          <w:bCs/>
          <w:color w:val="000000"/>
        </w:rPr>
        <w:t xml:space="preserve">by an amount </w:t>
      </w:r>
      <w:r w:rsidRPr="00D42AB1">
        <w:rPr>
          <w:b/>
          <w:bCs/>
          <w:i/>
          <w:iCs/>
          <w:color w:val="000000"/>
        </w:rPr>
        <w:t>equivalent to</w:t>
      </w:r>
      <w:r w:rsidRPr="00D42AB1">
        <w:rPr>
          <w:b/>
          <w:bCs/>
          <w:color w:val="000000"/>
        </w:rPr>
        <w:t xml:space="preserve"> or greater than 0.067 FTE or</w:t>
      </w:r>
      <w:r w:rsidRPr="00D42AB1">
        <w:rPr>
          <w:color w:val="000000"/>
        </w:rPr>
        <w:t xml:space="preserve"> </w:t>
      </w:r>
      <w:r w:rsidRPr="00D42AB1">
        <w:rPr>
          <w:b/>
          <w:bCs/>
          <w:color w:val="000000"/>
        </w:rPr>
        <w:t>one (1) formula hour)</w:t>
      </w:r>
      <w:r w:rsidRPr="00D42AB1">
        <w:rPr>
          <w:color w:val="000000"/>
        </w:rPr>
        <w:t xml:space="preserve">, the faculty member may </w:t>
      </w:r>
      <w:r w:rsidRPr="009C0EA5">
        <w:rPr>
          <w:color w:val="000000"/>
        </w:rPr>
        <w:t>make up</w:t>
      </w:r>
      <w:r w:rsidRPr="00D42AB1">
        <w:rPr>
          <w:color w:val="000000"/>
        </w:rPr>
        <w:t xml:space="preserve"> the imbalance the following contract year by mutual agreement. </w:t>
      </w:r>
    </w:p>
    <w:p w14:paraId="58C55D63" w14:textId="77777777" w:rsidR="009C0EA5" w:rsidRDefault="009C0EA5" w:rsidP="009C0EA5">
      <w:pPr>
        <w:rPr>
          <w:b/>
          <w:u w:val="single"/>
        </w:rPr>
      </w:pPr>
    </w:p>
    <w:p w14:paraId="7E3AFC89" w14:textId="25B7F418" w:rsidR="009C0EA5" w:rsidRPr="00D42AB1" w:rsidRDefault="009C0EA5" w:rsidP="009C0EA5">
      <w:pPr>
        <w:pStyle w:val="ListParagraph"/>
        <w:numPr>
          <w:ilvl w:val="0"/>
          <w:numId w:val="6"/>
        </w:numPr>
        <w:rPr>
          <w:b/>
          <w:u w:val="single"/>
        </w:rPr>
      </w:pPr>
      <w:r w:rsidRPr="009C0EA5">
        <w:rPr>
          <w:color w:val="000000"/>
        </w:rPr>
        <w:t>A</w:t>
      </w:r>
      <w:r>
        <w:rPr>
          <w:color w:val="000000"/>
        </w:rPr>
        <w:t xml:space="preserve">t the end of the two-year period of load balancing, formula hours </w:t>
      </w:r>
      <w:r>
        <w:rPr>
          <w:b/>
          <w:bCs/>
          <w:color w:val="000000"/>
        </w:rPr>
        <w:t>greater than</w:t>
      </w:r>
      <w:r>
        <w:rPr>
          <w:color w:val="000000"/>
        </w:rPr>
        <w:t xml:space="preserve"> sixty (60) (4 FTE) in the instructional mode (</w:t>
      </w:r>
      <w:r>
        <w:rPr>
          <w:b/>
          <w:bCs/>
          <w:color w:val="000000"/>
        </w:rPr>
        <w:t xml:space="preserve">by an amount </w:t>
      </w:r>
      <w:r>
        <w:rPr>
          <w:b/>
          <w:bCs/>
          <w:i/>
          <w:iCs/>
          <w:color w:val="000000"/>
        </w:rPr>
        <w:t xml:space="preserve">equivalent to </w:t>
      </w:r>
      <w:r>
        <w:rPr>
          <w:b/>
          <w:bCs/>
          <w:color w:val="000000"/>
        </w:rPr>
        <w:t>or greater than 0.067 FTE or one (1) formula hour</w:t>
      </w:r>
      <w:r>
        <w:rPr>
          <w:color w:val="000000"/>
        </w:rPr>
        <w:t>) shall be paid as overload (Schedule B).</w:t>
      </w:r>
    </w:p>
    <w:p w14:paraId="7A1B81C5" w14:textId="77777777" w:rsidR="00FB6465" w:rsidRDefault="00FB6465" w:rsidP="00FB6465">
      <w:pPr>
        <w:pStyle w:val="ListParagraph"/>
        <w:rPr>
          <w:b/>
          <w:u w:val="single"/>
        </w:rPr>
      </w:pPr>
    </w:p>
    <w:p w14:paraId="2E245AE5" w14:textId="77777777" w:rsidR="009C0EA5" w:rsidRPr="00D42AB1" w:rsidRDefault="009C0EA5" w:rsidP="00D42AB1">
      <w:pPr>
        <w:pStyle w:val="ListParagraph"/>
        <w:rPr>
          <w:b/>
          <w:u w:val="single"/>
        </w:rPr>
      </w:pPr>
    </w:p>
    <w:p w14:paraId="1805B603" w14:textId="32F6F65B" w:rsidR="009C0EA5" w:rsidRPr="00D42AB1" w:rsidRDefault="00FB6465" w:rsidP="00D42AB1">
      <w:pPr>
        <w:pStyle w:val="ListParagraph"/>
        <w:numPr>
          <w:ilvl w:val="0"/>
          <w:numId w:val="6"/>
        </w:numPr>
        <w:rPr>
          <w:b/>
          <w:u w:val="single"/>
        </w:rPr>
      </w:pPr>
      <w:r>
        <w:rPr>
          <w:color w:val="000000"/>
        </w:rPr>
        <w:t>…</w:t>
      </w:r>
      <w:r w:rsidR="009C0EA5">
        <w:rPr>
          <w:color w:val="000000"/>
        </w:rPr>
        <w:t>the District reserves the right to make an assignment over that two-year period which could vary from sixty (60) – sixty-two (62) formula hours (credit) or ninety (90) – ninety-two (92) formula hours (non-credit) as part of a unit member’s regular load.</w:t>
      </w:r>
    </w:p>
    <w:p w14:paraId="4755D3EE" w14:textId="77777777" w:rsidR="00FB6465" w:rsidRDefault="00FB6465" w:rsidP="00D42AB1">
      <w:pPr>
        <w:pStyle w:val="ListParagraph"/>
        <w:rPr>
          <w:b/>
          <w:u w:val="single"/>
        </w:rPr>
      </w:pPr>
    </w:p>
    <w:p w14:paraId="55389042" w14:textId="77777777" w:rsidR="009C0EA5" w:rsidRDefault="009C0EA5">
      <w:pPr>
        <w:rPr>
          <w:b/>
          <w:u w:val="single"/>
        </w:rPr>
      </w:pPr>
    </w:p>
    <w:p w14:paraId="10406D0D" w14:textId="770F226F" w:rsidR="00CD2F06" w:rsidRPr="00A55E60" w:rsidRDefault="00450118">
      <w:pPr>
        <w:rPr>
          <w:b/>
          <w:u w:val="single"/>
        </w:rPr>
      </w:pPr>
      <w:r w:rsidRPr="00A55E60">
        <w:rPr>
          <w:b/>
          <w:u w:val="single"/>
        </w:rPr>
        <w:t>College Instruction Office</w:t>
      </w:r>
    </w:p>
    <w:p w14:paraId="12A43F20" w14:textId="77777777" w:rsidR="00396FAD" w:rsidRPr="00A55E60" w:rsidRDefault="00396FAD">
      <w:pPr>
        <w:rPr>
          <w:b/>
          <w:u w:val="single"/>
        </w:rPr>
      </w:pPr>
    </w:p>
    <w:p w14:paraId="42167954" w14:textId="77777777" w:rsidR="001F5D91" w:rsidRPr="00A55E60" w:rsidRDefault="00054576">
      <w:r w:rsidRPr="00A55E60">
        <w:t>By the last working day in April or November (only for exception payments), t</w:t>
      </w:r>
      <w:r w:rsidR="001F5D91" w:rsidRPr="00A55E60">
        <w:t>he Vice President of Instruction must provide</w:t>
      </w:r>
      <w:r w:rsidR="00CD2F06" w:rsidRPr="00A55E60">
        <w:t xml:space="preserve"> an approved memo</w:t>
      </w:r>
      <w:r w:rsidR="00DE796A">
        <w:t xml:space="preserve"> to </w:t>
      </w:r>
      <w:r w:rsidR="00832E96">
        <w:t>the</w:t>
      </w:r>
      <w:r w:rsidR="00DE796A">
        <w:t xml:space="preserve"> Human Resources Officer, Employment</w:t>
      </w:r>
      <w:r w:rsidR="00832E96">
        <w:t>,</w:t>
      </w:r>
      <w:r w:rsidR="001F5D91" w:rsidRPr="00A55E60">
        <w:t xml:space="preserve"> </w:t>
      </w:r>
      <w:r w:rsidR="00CD2F06" w:rsidRPr="00A55E60">
        <w:t>which states</w:t>
      </w:r>
      <w:r w:rsidR="001F5D91" w:rsidRPr="00A55E60">
        <w:t xml:space="preserve"> the following information:</w:t>
      </w:r>
    </w:p>
    <w:p w14:paraId="73396906" w14:textId="77777777" w:rsidR="00811B79" w:rsidRPr="00A55E60" w:rsidRDefault="00811B79"/>
    <w:p w14:paraId="7C7EFF64" w14:textId="77777777" w:rsidR="00900E9D" w:rsidRPr="00A55E60" w:rsidRDefault="00900E9D">
      <w:pPr>
        <w:numPr>
          <w:ilvl w:val="0"/>
          <w:numId w:val="1"/>
        </w:numPr>
      </w:pPr>
      <w:r w:rsidRPr="00A55E60">
        <w:t>Employee Name</w:t>
      </w:r>
    </w:p>
    <w:p w14:paraId="2F18950B" w14:textId="77777777" w:rsidR="00DE024A" w:rsidRPr="00A55E60" w:rsidRDefault="00DE024A">
      <w:pPr>
        <w:numPr>
          <w:ilvl w:val="0"/>
          <w:numId w:val="1"/>
        </w:numPr>
      </w:pPr>
      <w:r w:rsidRPr="00A55E60">
        <w:t>Employee ID#</w:t>
      </w:r>
    </w:p>
    <w:p w14:paraId="5D1A8842" w14:textId="77777777" w:rsidR="004425BC" w:rsidRDefault="00900E9D">
      <w:pPr>
        <w:numPr>
          <w:ilvl w:val="0"/>
          <w:numId w:val="1"/>
        </w:numPr>
      </w:pPr>
      <w:r w:rsidRPr="00A55E60">
        <w:t>Position Number</w:t>
      </w:r>
      <w:r w:rsidR="00CD2F06" w:rsidRPr="00A55E60">
        <w:t xml:space="preserve"> </w:t>
      </w:r>
    </w:p>
    <w:p w14:paraId="5DEA2DD5" w14:textId="1D410A32" w:rsidR="004425BC" w:rsidRDefault="004425BC" w:rsidP="004425BC">
      <w:pPr>
        <w:ind w:left="360"/>
      </w:pPr>
      <w:r>
        <w:lastRenderedPageBreak/>
        <w:tab/>
      </w:r>
      <w:r>
        <w:tab/>
        <w:t xml:space="preserve">For Payouts </w:t>
      </w:r>
      <w:r w:rsidR="00FB6465">
        <w:t>–</w:t>
      </w:r>
      <w:r>
        <w:t xml:space="preserve"> </w:t>
      </w:r>
      <w:r w:rsidR="003D0C66" w:rsidRPr="00A55E60">
        <w:t>use overload position number</w:t>
      </w:r>
      <w:r w:rsidR="002824C1">
        <w:t>s</w:t>
      </w:r>
      <w:r w:rsidR="003D0C66" w:rsidRPr="00A55E60">
        <w:t xml:space="preserve">, </w:t>
      </w:r>
      <w:r w:rsidR="00CD2F06" w:rsidRPr="00A55E60">
        <w:t xml:space="preserve">this will </w:t>
      </w:r>
      <w:r>
        <w:t xml:space="preserve">ensure that the employees </w:t>
      </w:r>
      <w:r>
        <w:tab/>
      </w:r>
      <w:r>
        <w:tab/>
      </w:r>
      <w:r w:rsidR="002824C1">
        <w:tab/>
      </w:r>
      <w:r>
        <w:t xml:space="preserve">will be paid out of </w:t>
      </w:r>
      <w:r w:rsidR="00CD2F06" w:rsidRPr="00A55E60">
        <w:t>the appropriate budget number</w:t>
      </w:r>
      <w:r>
        <w:t>.</w:t>
      </w:r>
    </w:p>
    <w:p w14:paraId="7BED26C2" w14:textId="77777777" w:rsidR="002824C1" w:rsidRDefault="002824C1" w:rsidP="002824C1">
      <w:pPr>
        <w:ind w:left="360"/>
      </w:pPr>
      <w:r>
        <w:tab/>
      </w:r>
      <w:r>
        <w:tab/>
      </w:r>
      <w:r w:rsidR="004425BC">
        <w:t xml:space="preserve">For Type C </w:t>
      </w:r>
      <w:r>
        <w:t xml:space="preserve">Banking </w:t>
      </w:r>
      <w:r w:rsidR="004425BC">
        <w:t>– use Type C position numbers.</w:t>
      </w:r>
    </w:p>
    <w:p w14:paraId="53F4CD46" w14:textId="77777777" w:rsidR="00900E9D" w:rsidRPr="00A55E60" w:rsidRDefault="00900E9D">
      <w:pPr>
        <w:numPr>
          <w:ilvl w:val="0"/>
          <w:numId w:val="1"/>
        </w:numPr>
      </w:pPr>
      <w:r w:rsidRPr="00A55E60">
        <w:t>Formula Hours</w:t>
      </w:r>
    </w:p>
    <w:p w14:paraId="7173C660" w14:textId="77777777" w:rsidR="00900E9D" w:rsidRDefault="00900E9D" w:rsidP="00B81E98">
      <w:pPr>
        <w:numPr>
          <w:ilvl w:val="0"/>
          <w:numId w:val="1"/>
        </w:numPr>
      </w:pPr>
      <w:r w:rsidRPr="00A55E60">
        <w:t>FTE to be paid (this is Formula Hours divided by 15</w:t>
      </w:r>
      <w:r w:rsidR="006277CA" w:rsidRPr="00A55E60">
        <w:t xml:space="preserve"> = Total Formula Hours for 4 semesters, then take Total Formula Hours minus 4 (4 FTE is 2 seme</w:t>
      </w:r>
      <w:r w:rsidR="00054576" w:rsidRPr="00A55E60">
        <w:t>s</w:t>
      </w:r>
      <w:r w:rsidR="006277CA" w:rsidRPr="00A55E60">
        <w:t>ters at 100%) = extra FTE to be paid</w:t>
      </w:r>
      <w:r w:rsidRPr="00A55E60">
        <w:t>)</w:t>
      </w:r>
      <w:r w:rsidR="006277CA" w:rsidRPr="00A55E60">
        <w:t xml:space="preserve"> (Example: Formula Hours 61.00 divided by 15 = 4.0666, then take 4.0666 minus 4 = .067 FTE </w:t>
      </w:r>
      <w:r w:rsidR="00B81E98" w:rsidRPr="00A55E60">
        <w:t xml:space="preserve">is the </w:t>
      </w:r>
      <w:r w:rsidR="006277CA" w:rsidRPr="00A55E60">
        <w:t>remaining to be paid.</w:t>
      </w:r>
    </w:p>
    <w:p w14:paraId="018E49D0" w14:textId="77777777" w:rsidR="004425BC" w:rsidRDefault="004425BC" w:rsidP="00B81E98">
      <w:pPr>
        <w:numPr>
          <w:ilvl w:val="0"/>
          <w:numId w:val="1"/>
        </w:numPr>
      </w:pPr>
      <w:r>
        <w:t xml:space="preserve">Lecture Hours to be </w:t>
      </w:r>
      <w:r w:rsidR="002824C1">
        <w:t>P</w:t>
      </w:r>
      <w:r>
        <w:t>aid (this is the FTE multiplied by 270) (FTE calculations for lecture are based on 270 hours per semester, which is the equivalency of a full-time load.)</w:t>
      </w:r>
      <w:r w:rsidR="00873B6A">
        <w:t xml:space="preserve">  Note: this number should be out 2 decimal places.</w:t>
      </w:r>
    </w:p>
    <w:p w14:paraId="4AB26AA2" w14:textId="77777777" w:rsidR="002824C1" w:rsidRDefault="002824C1" w:rsidP="002824C1">
      <w:pPr>
        <w:numPr>
          <w:ilvl w:val="0"/>
          <w:numId w:val="1"/>
        </w:numPr>
      </w:pPr>
      <w:r>
        <w:t>List if the employee is Banking Type C or being Paid Out</w:t>
      </w:r>
    </w:p>
    <w:p w14:paraId="39B199ED" w14:textId="77777777" w:rsidR="004425BC" w:rsidRPr="00A55E60" w:rsidRDefault="004425BC" w:rsidP="004425BC">
      <w:pPr>
        <w:ind w:left="360"/>
      </w:pPr>
    </w:p>
    <w:p w14:paraId="6D6AEC91" w14:textId="2AC84856" w:rsidR="00C54984" w:rsidRDefault="00C54984" w:rsidP="00C54984">
      <w:pPr>
        <w:ind w:left="360"/>
        <w:rPr>
          <w:i/>
        </w:rPr>
      </w:pPr>
      <w:r w:rsidRPr="00A55E60">
        <w:rPr>
          <w:i/>
        </w:rPr>
        <w:t xml:space="preserve">Note: An instructor can request that the excess load be banked </w:t>
      </w:r>
      <w:r w:rsidR="00A55E60" w:rsidRPr="00A55E60">
        <w:rPr>
          <w:i/>
        </w:rPr>
        <w:t xml:space="preserve">for Type C Leave </w:t>
      </w:r>
      <w:r w:rsidRPr="00A55E60">
        <w:rPr>
          <w:i/>
        </w:rPr>
        <w:t>rather than paid</w:t>
      </w:r>
      <w:r w:rsidR="00A55E60" w:rsidRPr="00A55E60">
        <w:rPr>
          <w:i/>
        </w:rPr>
        <w:t xml:space="preserve"> (the appropriate approval </w:t>
      </w:r>
      <w:r w:rsidR="007C7C53">
        <w:rPr>
          <w:i/>
        </w:rPr>
        <w:t>Type C B</w:t>
      </w:r>
      <w:r w:rsidR="00A55E60" w:rsidRPr="00A55E60">
        <w:rPr>
          <w:i/>
        </w:rPr>
        <w:t>anking request</w:t>
      </w:r>
      <w:r w:rsidR="007C7C53">
        <w:rPr>
          <w:i/>
        </w:rPr>
        <w:t>(s)</w:t>
      </w:r>
      <w:r w:rsidR="00A55E60" w:rsidRPr="00A55E60">
        <w:rPr>
          <w:i/>
        </w:rPr>
        <w:t xml:space="preserve"> </w:t>
      </w:r>
      <w:r w:rsidR="00A96A89" w:rsidRPr="004425BC">
        <w:rPr>
          <w:b/>
          <w:i/>
          <w:u w:val="single"/>
        </w:rPr>
        <w:t>must</w:t>
      </w:r>
      <w:r w:rsidR="00A96A89">
        <w:rPr>
          <w:i/>
        </w:rPr>
        <w:t xml:space="preserve"> be</w:t>
      </w:r>
      <w:r w:rsidR="00A55E60" w:rsidRPr="00A55E60">
        <w:rPr>
          <w:i/>
        </w:rPr>
        <w:t xml:space="preserve"> submitte</w:t>
      </w:r>
      <w:r w:rsidR="007C7C53">
        <w:rPr>
          <w:i/>
        </w:rPr>
        <w:t xml:space="preserve">d along with the approved memo to </w:t>
      </w:r>
      <w:r w:rsidR="00FB6465">
        <w:rPr>
          <w:i/>
        </w:rPr>
        <w:t xml:space="preserve">the </w:t>
      </w:r>
      <w:r w:rsidR="007C7C53">
        <w:rPr>
          <w:i/>
        </w:rPr>
        <w:t>Human Resources Officer</w:t>
      </w:r>
      <w:r w:rsidR="00A55E60" w:rsidRPr="00A55E60">
        <w:rPr>
          <w:i/>
        </w:rPr>
        <w:t>)</w:t>
      </w:r>
      <w:r w:rsidRPr="00A55E60">
        <w:rPr>
          <w:i/>
        </w:rPr>
        <w:t>.</w:t>
      </w:r>
    </w:p>
    <w:p w14:paraId="3A746098" w14:textId="77777777" w:rsidR="00D83F12" w:rsidRDefault="00D83F12" w:rsidP="00C54984">
      <w:pPr>
        <w:ind w:left="360"/>
        <w:rPr>
          <w:i/>
        </w:rPr>
      </w:pPr>
    </w:p>
    <w:p w14:paraId="20E2BBAD" w14:textId="77777777" w:rsidR="00D83F12" w:rsidRPr="00A55E60" w:rsidRDefault="00D83F12" w:rsidP="00D83F12">
      <w:pPr>
        <w:rPr>
          <w:b/>
          <w:u w:val="single"/>
        </w:rPr>
      </w:pPr>
    </w:p>
    <w:p w14:paraId="35468EA7" w14:textId="77777777" w:rsidR="00D83F12" w:rsidRDefault="00D83F12" w:rsidP="00D83F12">
      <w:r w:rsidRPr="00A55E60">
        <w:t xml:space="preserve">Once Payroll Worksheets are created for December or May, the Instruction Office will need to </w:t>
      </w:r>
      <w:r>
        <w:t xml:space="preserve">write onto the worksheets the </w:t>
      </w:r>
      <w:r w:rsidRPr="00A55E60">
        <w:t xml:space="preserve">accurate number of </w:t>
      </w:r>
      <w:r>
        <w:t xml:space="preserve">lecture </w:t>
      </w:r>
      <w:r w:rsidRPr="00A55E60">
        <w:t>hours to be paid.</w:t>
      </w:r>
    </w:p>
    <w:p w14:paraId="461D3CCF" w14:textId="77777777" w:rsidR="00D83F12" w:rsidRPr="00A55E60" w:rsidRDefault="00D83F12" w:rsidP="00C54984">
      <w:pPr>
        <w:ind w:left="360"/>
        <w:rPr>
          <w:i/>
        </w:rPr>
      </w:pPr>
    </w:p>
    <w:p w14:paraId="3A025DDA" w14:textId="77777777" w:rsidR="00DE024A" w:rsidRDefault="00DE024A"/>
    <w:p w14:paraId="5BFE3838" w14:textId="77777777" w:rsidR="00DE024A" w:rsidRDefault="00DE024A"/>
    <w:p w14:paraId="42BF9C41" w14:textId="77777777" w:rsidR="00A55E60" w:rsidRPr="00A55E60" w:rsidRDefault="00A55E60"/>
    <w:p w14:paraId="126EF8F6" w14:textId="77777777" w:rsidR="008A1F37" w:rsidRDefault="008A1F37"/>
    <w:p w14:paraId="4651ADF0" w14:textId="74273B71" w:rsidR="008A1F37" w:rsidRPr="008A1F37" w:rsidRDefault="008A1F37" w:rsidP="008A1F37">
      <w:pPr>
        <w:jc w:val="right"/>
        <w:rPr>
          <w:sz w:val="20"/>
          <w:szCs w:val="20"/>
        </w:rPr>
      </w:pPr>
      <w:r w:rsidRPr="008A1F37">
        <w:rPr>
          <w:sz w:val="20"/>
          <w:szCs w:val="20"/>
        </w:rPr>
        <w:t>Created: 11/2009</w:t>
      </w:r>
      <w:r w:rsidR="001C79F2">
        <w:rPr>
          <w:sz w:val="20"/>
          <w:szCs w:val="20"/>
        </w:rPr>
        <w:t>; Revised: 3/10</w:t>
      </w:r>
      <w:r w:rsidR="002824C1">
        <w:rPr>
          <w:sz w:val="20"/>
          <w:szCs w:val="20"/>
        </w:rPr>
        <w:t>; 5/10</w:t>
      </w:r>
      <w:r w:rsidR="00886505">
        <w:rPr>
          <w:sz w:val="20"/>
          <w:szCs w:val="20"/>
        </w:rPr>
        <w:t>; 2/11</w:t>
      </w:r>
      <w:r w:rsidR="007B1B9A">
        <w:rPr>
          <w:sz w:val="20"/>
          <w:szCs w:val="20"/>
        </w:rPr>
        <w:t>; 5/11</w:t>
      </w:r>
      <w:r w:rsidR="003B481E">
        <w:rPr>
          <w:sz w:val="20"/>
          <w:szCs w:val="20"/>
        </w:rPr>
        <w:t>; 5/13</w:t>
      </w:r>
      <w:r w:rsidR="00801B78">
        <w:rPr>
          <w:sz w:val="20"/>
          <w:szCs w:val="20"/>
        </w:rPr>
        <w:t>; 9/15</w:t>
      </w:r>
      <w:r w:rsidR="00FB6465">
        <w:rPr>
          <w:sz w:val="20"/>
          <w:szCs w:val="20"/>
        </w:rPr>
        <w:t xml:space="preserve">; </w:t>
      </w:r>
      <w:r w:rsidR="0095016A">
        <w:rPr>
          <w:sz w:val="20"/>
          <w:szCs w:val="20"/>
        </w:rPr>
        <w:t>2</w:t>
      </w:r>
      <w:r w:rsidR="00FB6465">
        <w:rPr>
          <w:sz w:val="20"/>
          <w:szCs w:val="20"/>
        </w:rPr>
        <w:t>/2024</w:t>
      </w:r>
    </w:p>
    <w:p w14:paraId="468AAF59" w14:textId="77777777" w:rsidR="00811B79" w:rsidRPr="00A55E60" w:rsidRDefault="00811B79"/>
    <w:p w14:paraId="5175B708" w14:textId="77777777" w:rsidR="00811B79" w:rsidRPr="00A55E60" w:rsidRDefault="00811B79"/>
    <w:sectPr w:rsidR="00811B79" w:rsidRPr="00A55E60" w:rsidSect="002968E2">
      <w:pgSz w:w="12240" w:h="15840"/>
      <w:pgMar w:top="108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17C6"/>
    <w:multiLevelType w:val="hybridMultilevel"/>
    <w:tmpl w:val="8D08F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541AB"/>
    <w:multiLevelType w:val="hybridMultilevel"/>
    <w:tmpl w:val="1CA41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92FFC"/>
    <w:multiLevelType w:val="hybridMultilevel"/>
    <w:tmpl w:val="DB68C6C8"/>
    <w:lvl w:ilvl="0" w:tplc="640E0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B79D0"/>
    <w:multiLevelType w:val="hybridMultilevel"/>
    <w:tmpl w:val="043CE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B33FB"/>
    <w:multiLevelType w:val="hybridMultilevel"/>
    <w:tmpl w:val="5B985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17E15"/>
    <w:multiLevelType w:val="hybridMultilevel"/>
    <w:tmpl w:val="5BD4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524728">
    <w:abstractNumId w:val="3"/>
  </w:num>
  <w:num w:numId="2" w16cid:durableId="1209798141">
    <w:abstractNumId w:val="4"/>
  </w:num>
  <w:num w:numId="3" w16cid:durableId="1277710091">
    <w:abstractNumId w:val="1"/>
  </w:num>
  <w:num w:numId="4" w16cid:durableId="652368843">
    <w:abstractNumId w:val="0"/>
  </w:num>
  <w:num w:numId="5" w16cid:durableId="1967589499">
    <w:abstractNumId w:val="5"/>
  </w:num>
  <w:num w:numId="6" w16cid:durableId="1854417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4A"/>
    <w:rsid w:val="00001A27"/>
    <w:rsid w:val="00001A70"/>
    <w:rsid w:val="00003471"/>
    <w:rsid w:val="00003802"/>
    <w:rsid w:val="000050EA"/>
    <w:rsid w:val="00014548"/>
    <w:rsid w:val="000155FA"/>
    <w:rsid w:val="0001591C"/>
    <w:rsid w:val="000210F0"/>
    <w:rsid w:val="00024776"/>
    <w:rsid w:val="00025A72"/>
    <w:rsid w:val="00026EB6"/>
    <w:rsid w:val="00026F2D"/>
    <w:rsid w:val="00030F5F"/>
    <w:rsid w:val="00032A03"/>
    <w:rsid w:val="0003376B"/>
    <w:rsid w:val="00034872"/>
    <w:rsid w:val="00036835"/>
    <w:rsid w:val="000400A3"/>
    <w:rsid w:val="00042FAD"/>
    <w:rsid w:val="000446CF"/>
    <w:rsid w:val="000467B5"/>
    <w:rsid w:val="00051CDB"/>
    <w:rsid w:val="00054576"/>
    <w:rsid w:val="00056381"/>
    <w:rsid w:val="000575AD"/>
    <w:rsid w:val="00060BF1"/>
    <w:rsid w:val="00063662"/>
    <w:rsid w:val="00065A85"/>
    <w:rsid w:val="0006673F"/>
    <w:rsid w:val="000670AF"/>
    <w:rsid w:val="00067D7C"/>
    <w:rsid w:val="000714FA"/>
    <w:rsid w:val="00072110"/>
    <w:rsid w:val="000750EC"/>
    <w:rsid w:val="000840E8"/>
    <w:rsid w:val="000935EE"/>
    <w:rsid w:val="00095B39"/>
    <w:rsid w:val="0009657B"/>
    <w:rsid w:val="000A0431"/>
    <w:rsid w:val="000A377D"/>
    <w:rsid w:val="000A6FF8"/>
    <w:rsid w:val="000B325B"/>
    <w:rsid w:val="000B3BF6"/>
    <w:rsid w:val="000B4C92"/>
    <w:rsid w:val="000B67E7"/>
    <w:rsid w:val="000B7EA2"/>
    <w:rsid w:val="000C2856"/>
    <w:rsid w:val="000C2D9F"/>
    <w:rsid w:val="000D20CB"/>
    <w:rsid w:val="000D3B09"/>
    <w:rsid w:val="000E2856"/>
    <w:rsid w:val="000E33B7"/>
    <w:rsid w:val="000E4AFE"/>
    <w:rsid w:val="000E59DC"/>
    <w:rsid w:val="000E5AEA"/>
    <w:rsid w:val="000E7454"/>
    <w:rsid w:val="000E7999"/>
    <w:rsid w:val="000F508E"/>
    <w:rsid w:val="000F509B"/>
    <w:rsid w:val="000F5D45"/>
    <w:rsid w:val="000F6222"/>
    <w:rsid w:val="000F6810"/>
    <w:rsid w:val="0010446F"/>
    <w:rsid w:val="001051C9"/>
    <w:rsid w:val="00107C3C"/>
    <w:rsid w:val="001104D3"/>
    <w:rsid w:val="00120A37"/>
    <w:rsid w:val="00120DB5"/>
    <w:rsid w:val="00121FE6"/>
    <w:rsid w:val="00122D35"/>
    <w:rsid w:val="0012589E"/>
    <w:rsid w:val="0012639B"/>
    <w:rsid w:val="00130314"/>
    <w:rsid w:val="001304B3"/>
    <w:rsid w:val="00135C01"/>
    <w:rsid w:val="00137593"/>
    <w:rsid w:val="00140459"/>
    <w:rsid w:val="00141011"/>
    <w:rsid w:val="00141022"/>
    <w:rsid w:val="00143FCE"/>
    <w:rsid w:val="0014589A"/>
    <w:rsid w:val="00156267"/>
    <w:rsid w:val="00160D12"/>
    <w:rsid w:val="001645BD"/>
    <w:rsid w:val="00170F76"/>
    <w:rsid w:val="00171C7C"/>
    <w:rsid w:val="00173B61"/>
    <w:rsid w:val="00174129"/>
    <w:rsid w:val="00174502"/>
    <w:rsid w:val="00174625"/>
    <w:rsid w:val="0017558E"/>
    <w:rsid w:val="00176656"/>
    <w:rsid w:val="00180B4A"/>
    <w:rsid w:val="001810A9"/>
    <w:rsid w:val="0018219C"/>
    <w:rsid w:val="001840C2"/>
    <w:rsid w:val="0018589F"/>
    <w:rsid w:val="001859B1"/>
    <w:rsid w:val="001900B3"/>
    <w:rsid w:val="00190E25"/>
    <w:rsid w:val="0019654C"/>
    <w:rsid w:val="001A063E"/>
    <w:rsid w:val="001A1644"/>
    <w:rsid w:val="001A7103"/>
    <w:rsid w:val="001B6F67"/>
    <w:rsid w:val="001C01A4"/>
    <w:rsid w:val="001C4F14"/>
    <w:rsid w:val="001C79F2"/>
    <w:rsid w:val="001D14F9"/>
    <w:rsid w:val="001D502F"/>
    <w:rsid w:val="001D5BE8"/>
    <w:rsid w:val="001E198A"/>
    <w:rsid w:val="001E2425"/>
    <w:rsid w:val="001E2A95"/>
    <w:rsid w:val="001E4250"/>
    <w:rsid w:val="001E4BD9"/>
    <w:rsid w:val="001E76E5"/>
    <w:rsid w:val="001F00C8"/>
    <w:rsid w:val="001F12C6"/>
    <w:rsid w:val="001F230C"/>
    <w:rsid w:val="001F2C45"/>
    <w:rsid w:val="001F52EA"/>
    <w:rsid w:val="001F5D91"/>
    <w:rsid w:val="002009BB"/>
    <w:rsid w:val="0020265C"/>
    <w:rsid w:val="00203BCB"/>
    <w:rsid w:val="00204AB2"/>
    <w:rsid w:val="00205CB5"/>
    <w:rsid w:val="00212F47"/>
    <w:rsid w:val="002130CF"/>
    <w:rsid w:val="0021738D"/>
    <w:rsid w:val="00217494"/>
    <w:rsid w:val="002233F2"/>
    <w:rsid w:val="002246B7"/>
    <w:rsid w:val="00225772"/>
    <w:rsid w:val="0023273A"/>
    <w:rsid w:val="00232959"/>
    <w:rsid w:val="00234441"/>
    <w:rsid w:val="00234E62"/>
    <w:rsid w:val="002444BD"/>
    <w:rsid w:val="00244BBC"/>
    <w:rsid w:val="002504B5"/>
    <w:rsid w:val="00253855"/>
    <w:rsid w:val="00253CA8"/>
    <w:rsid w:val="00253E96"/>
    <w:rsid w:val="00256C26"/>
    <w:rsid w:val="0026001E"/>
    <w:rsid w:val="00260366"/>
    <w:rsid w:val="00262E2B"/>
    <w:rsid w:val="00264332"/>
    <w:rsid w:val="0026464E"/>
    <w:rsid w:val="0027059B"/>
    <w:rsid w:val="0027617C"/>
    <w:rsid w:val="00281B3F"/>
    <w:rsid w:val="002823CD"/>
    <w:rsid w:val="002824C1"/>
    <w:rsid w:val="002864D0"/>
    <w:rsid w:val="002875DD"/>
    <w:rsid w:val="00287807"/>
    <w:rsid w:val="002968E2"/>
    <w:rsid w:val="00297C6C"/>
    <w:rsid w:val="002A072E"/>
    <w:rsid w:val="002A17E0"/>
    <w:rsid w:val="002A22D6"/>
    <w:rsid w:val="002A3C3A"/>
    <w:rsid w:val="002B001A"/>
    <w:rsid w:val="002B1893"/>
    <w:rsid w:val="002B43D3"/>
    <w:rsid w:val="002B6A5D"/>
    <w:rsid w:val="002C0561"/>
    <w:rsid w:val="002C2759"/>
    <w:rsid w:val="002C795B"/>
    <w:rsid w:val="002D3C95"/>
    <w:rsid w:val="002D4EFA"/>
    <w:rsid w:val="002D7596"/>
    <w:rsid w:val="002D75C6"/>
    <w:rsid w:val="002E0BAB"/>
    <w:rsid w:val="002E17CF"/>
    <w:rsid w:val="002E3038"/>
    <w:rsid w:val="002E334B"/>
    <w:rsid w:val="002E4885"/>
    <w:rsid w:val="002F1448"/>
    <w:rsid w:val="002F3407"/>
    <w:rsid w:val="002F7274"/>
    <w:rsid w:val="00301D92"/>
    <w:rsid w:val="00302ADA"/>
    <w:rsid w:val="00304911"/>
    <w:rsid w:val="003105AC"/>
    <w:rsid w:val="00311830"/>
    <w:rsid w:val="0031203C"/>
    <w:rsid w:val="00312505"/>
    <w:rsid w:val="00320985"/>
    <w:rsid w:val="003210A9"/>
    <w:rsid w:val="00324FD0"/>
    <w:rsid w:val="00326C01"/>
    <w:rsid w:val="00336B31"/>
    <w:rsid w:val="00337956"/>
    <w:rsid w:val="003379F1"/>
    <w:rsid w:val="0034170C"/>
    <w:rsid w:val="003419EE"/>
    <w:rsid w:val="00344CC4"/>
    <w:rsid w:val="00351B0C"/>
    <w:rsid w:val="0035347B"/>
    <w:rsid w:val="00353727"/>
    <w:rsid w:val="00355A64"/>
    <w:rsid w:val="003600EE"/>
    <w:rsid w:val="0036159B"/>
    <w:rsid w:val="00365F3C"/>
    <w:rsid w:val="0037038D"/>
    <w:rsid w:val="00374DC1"/>
    <w:rsid w:val="003750D0"/>
    <w:rsid w:val="00375A48"/>
    <w:rsid w:val="00381C8C"/>
    <w:rsid w:val="00382C79"/>
    <w:rsid w:val="00384330"/>
    <w:rsid w:val="003876A7"/>
    <w:rsid w:val="00387B21"/>
    <w:rsid w:val="00387F5F"/>
    <w:rsid w:val="00391069"/>
    <w:rsid w:val="00396C7A"/>
    <w:rsid w:val="00396FAD"/>
    <w:rsid w:val="003A31E2"/>
    <w:rsid w:val="003A3354"/>
    <w:rsid w:val="003A4552"/>
    <w:rsid w:val="003A54E2"/>
    <w:rsid w:val="003A595E"/>
    <w:rsid w:val="003A5FE2"/>
    <w:rsid w:val="003A72DD"/>
    <w:rsid w:val="003A7627"/>
    <w:rsid w:val="003B0403"/>
    <w:rsid w:val="003B17DF"/>
    <w:rsid w:val="003B417C"/>
    <w:rsid w:val="003B481E"/>
    <w:rsid w:val="003B505E"/>
    <w:rsid w:val="003B7609"/>
    <w:rsid w:val="003C31D3"/>
    <w:rsid w:val="003C4715"/>
    <w:rsid w:val="003C5056"/>
    <w:rsid w:val="003C5E1C"/>
    <w:rsid w:val="003D0A27"/>
    <w:rsid w:val="003D0B60"/>
    <w:rsid w:val="003D0C66"/>
    <w:rsid w:val="003D209D"/>
    <w:rsid w:val="003D436F"/>
    <w:rsid w:val="003D5A9A"/>
    <w:rsid w:val="003E041A"/>
    <w:rsid w:val="003E5027"/>
    <w:rsid w:val="003E5548"/>
    <w:rsid w:val="003F13EE"/>
    <w:rsid w:val="003F4DE1"/>
    <w:rsid w:val="003F56DA"/>
    <w:rsid w:val="00402B1F"/>
    <w:rsid w:val="0041185C"/>
    <w:rsid w:val="0041348B"/>
    <w:rsid w:val="0041560D"/>
    <w:rsid w:val="00415AC2"/>
    <w:rsid w:val="00416734"/>
    <w:rsid w:val="00421002"/>
    <w:rsid w:val="00427692"/>
    <w:rsid w:val="00431F66"/>
    <w:rsid w:val="004324EC"/>
    <w:rsid w:val="00432722"/>
    <w:rsid w:val="00437584"/>
    <w:rsid w:val="0044024D"/>
    <w:rsid w:val="00441C94"/>
    <w:rsid w:val="004425BC"/>
    <w:rsid w:val="00443279"/>
    <w:rsid w:val="00446404"/>
    <w:rsid w:val="00446CB0"/>
    <w:rsid w:val="00450118"/>
    <w:rsid w:val="00453D46"/>
    <w:rsid w:val="00456C43"/>
    <w:rsid w:val="00463680"/>
    <w:rsid w:val="004648BB"/>
    <w:rsid w:val="004658C3"/>
    <w:rsid w:val="00465D3C"/>
    <w:rsid w:val="00466D1D"/>
    <w:rsid w:val="00472404"/>
    <w:rsid w:val="00472729"/>
    <w:rsid w:val="00475BE2"/>
    <w:rsid w:val="00477517"/>
    <w:rsid w:val="00484B48"/>
    <w:rsid w:val="00490808"/>
    <w:rsid w:val="0049357A"/>
    <w:rsid w:val="00496574"/>
    <w:rsid w:val="004A10EE"/>
    <w:rsid w:val="004A14F4"/>
    <w:rsid w:val="004A1F57"/>
    <w:rsid w:val="004A41C0"/>
    <w:rsid w:val="004A56CB"/>
    <w:rsid w:val="004A63B2"/>
    <w:rsid w:val="004A690A"/>
    <w:rsid w:val="004A7544"/>
    <w:rsid w:val="004B45DA"/>
    <w:rsid w:val="004B68D0"/>
    <w:rsid w:val="004C5237"/>
    <w:rsid w:val="004C58E6"/>
    <w:rsid w:val="004C62C8"/>
    <w:rsid w:val="004C700F"/>
    <w:rsid w:val="004D01EB"/>
    <w:rsid w:val="004D73B9"/>
    <w:rsid w:val="004E176A"/>
    <w:rsid w:val="004E18E9"/>
    <w:rsid w:val="004E69DD"/>
    <w:rsid w:val="004F03C4"/>
    <w:rsid w:val="004F085D"/>
    <w:rsid w:val="004F32B0"/>
    <w:rsid w:val="004F7BB2"/>
    <w:rsid w:val="004F7EDC"/>
    <w:rsid w:val="00503405"/>
    <w:rsid w:val="00504611"/>
    <w:rsid w:val="005056C7"/>
    <w:rsid w:val="005075B7"/>
    <w:rsid w:val="005110AC"/>
    <w:rsid w:val="00513A8E"/>
    <w:rsid w:val="00514399"/>
    <w:rsid w:val="00521903"/>
    <w:rsid w:val="005222DF"/>
    <w:rsid w:val="00522A3E"/>
    <w:rsid w:val="00533936"/>
    <w:rsid w:val="00536CD1"/>
    <w:rsid w:val="00537624"/>
    <w:rsid w:val="00540156"/>
    <w:rsid w:val="00546805"/>
    <w:rsid w:val="005512E4"/>
    <w:rsid w:val="005527A5"/>
    <w:rsid w:val="005532F8"/>
    <w:rsid w:val="00553FB9"/>
    <w:rsid w:val="00556574"/>
    <w:rsid w:val="00556D7A"/>
    <w:rsid w:val="00564F2E"/>
    <w:rsid w:val="0056585C"/>
    <w:rsid w:val="005716DD"/>
    <w:rsid w:val="0057175C"/>
    <w:rsid w:val="00581782"/>
    <w:rsid w:val="00583CE4"/>
    <w:rsid w:val="00583DF6"/>
    <w:rsid w:val="00584FB8"/>
    <w:rsid w:val="005850AE"/>
    <w:rsid w:val="0058558F"/>
    <w:rsid w:val="00585C17"/>
    <w:rsid w:val="00586D54"/>
    <w:rsid w:val="00590BA6"/>
    <w:rsid w:val="00593C75"/>
    <w:rsid w:val="005944B2"/>
    <w:rsid w:val="0059488C"/>
    <w:rsid w:val="005965F9"/>
    <w:rsid w:val="005A251D"/>
    <w:rsid w:val="005A6642"/>
    <w:rsid w:val="005B0143"/>
    <w:rsid w:val="005B571C"/>
    <w:rsid w:val="005B7934"/>
    <w:rsid w:val="005C0AB5"/>
    <w:rsid w:val="005C222F"/>
    <w:rsid w:val="005C2F7D"/>
    <w:rsid w:val="005C37D5"/>
    <w:rsid w:val="005C55BC"/>
    <w:rsid w:val="005C6B09"/>
    <w:rsid w:val="005C7166"/>
    <w:rsid w:val="005D0FEC"/>
    <w:rsid w:val="005D3691"/>
    <w:rsid w:val="005D3C5D"/>
    <w:rsid w:val="005D6A7F"/>
    <w:rsid w:val="005D6DEB"/>
    <w:rsid w:val="005E113D"/>
    <w:rsid w:val="005E6CF3"/>
    <w:rsid w:val="005F1765"/>
    <w:rsid w:val="00600C92"/>
    <w:rsid w:val="00602597"/>
    <w:rsid w:val="006110B1"/>
    <w:rsid w:val="00616291"/>
    <w:rsid w:val="006208ED"/>
    <w:rsid w:val="006220CA"/>
    <w:rsid w:val="0062500F"/>
    <w:rsid w:val="00625207"/>
    <w:rsid w:val="006272E1"/>
    <w:rsid w:val="006277CA"/>
    <w:rsid w:val="006314B2"/>
    <w:rsid w:val="00634D5F"/>
    <w:rsid w:val="0063754A"/>
    <w:rsid w:val="00641324"/>
    <w:rsid w:val="00641C65"/>
    <w:rsid w:val="00643D28"/>
    <w:rsid w:val="00646BD8"/>
    <w:rsid w:val="00656B01"/>
    <w:rsid w:val="0065758A"/>
    <w:rsid w:val="00663D72"/>
    <w:rsid w:val="0067228F"/>
    <w:rsid w:val="0067479B"/>
    <w:rsid w:val="00676144"/>
    <w:rsid w:val="0067752C"/>
    <w:rsid w:val="00680215"/>
    <w:rsid w:val="006802F1"/>
    <w:rsid w:val="00680764"/>
    <w:rsid w:val="00685418"/>
    <w:rsid w:val="00687746"/>
    <w:rsid w:val="006910DA"/>
    <w:rsid w:val="00691A7F"/>
    <w:rsid w:val="006943EF"/>
    <w:rsid w:val="0069545D"/>
    <w:rsid w:val="00697602"/>
    <w:rsid w:val="006A2EBD"/>
    <w:rsid w:val="006A3650"/>
    <w:rsid w:val="006A4B0A"/>
    <w:rsid w:val="006A6DAE"/>
    <w:rsid w:val="006B0187"/>
    <w:rsid w:val="006B4737"/>
    <w:rsid w:val="006B7C38"/>
    <w:rsid w:val="006C5853"/>
    <w:rsid w:val="006C633D"/>
    <w:rsid w:val="006C6C95"/>
    <w:rsid w:val="006C7A98"/>
    <w:rsid w:val="006D0358"/>
    <w:rsid w:val="006D0FEA"/>
    <w:rsid w:val="006D6E38"/>
    <w:rsid w:val="006D7353"/>
    <w:rsid w:val="006D7DAB"/>
    <w:rsid w:val="006D7E8E"/>
    <w:rsid w:val="006E4DF8"/>
    <w:rsid w:val="006E6221"/>
    <w:rsid w:val="006E6630"/>
    <w:rsid w:val="006F3B80"/>
    <w:rsid w:val="006F738D"/>
    <w:rsid w:val="00702202"/>
    <w:rsid w:val="007037E1"/>
    <w:rsid w:val="0070743F"/>
    <w:rsid w:val="007076F4"/>
    <w:rsid w:val="0070779E"/>
    <w:rsid w:val="00710105"/>
    <w:rsid w:val="007118CF"/>
    <w:rsid w:val="00712695"/>
    <w:rsid w:val="00713CC5"/>
    <w:rsid w:val="007144D9"/>
    <w:rsid w:val="00714607"/>
    <w:rsid w:val="00714AAF"/>
    <w:rsid w:val="007177DD"/>
    <w:rsid w:val="007210DD"/>
    <w:rsid w:val="00721468"/>
    <w:rsid w:val="007219FB"/>
    <w:rsid w:val="0072477B"/>
    <w:rsid w:val="0072685B"/>
    <w:rsid w:val="00726A65"/>
    <w:rsid w:val="00727E45"/>
    <w:rsid w:val="0073459A"/>
    <w:rsid w:val="00735BE4"/>
    <w:rsid w:val="00740699"/>
    <w:rsid w:val="00741D1E"/>
    <w:rsid w:val="00745C27"/>
    <w:rsid w:val="00746A61"/>
    <w:rsid w:val="00746E89"/>
    <w:rsid w:val="00747F53"/>
    <w:rsid w:val="0075018F"/>
    <w:rsid w:val="007501A7"/>
    <w:rsid w:val="007508B4"/>
    <w:rsid w:val="00753EF1"/>
    <w:rsid w:val="00755D3E"/>
    <w:rsid w:val="007564FD"/>
    <w:rsid w:val="00764923"/>
    <w:rsid w:val="0076677C"/>
    <w:rsid w:val="00767E7A"/>
    <w:rsid w:val="00772AB2"/>
    <w:rsid w:val="007740EA"/>
    <w:rsid w:val="007747D0"/>
    <w:rsid w:val="0077508D"/>
    <w:rsid w:val="00780BDD"/>
    <w:rsid w:val="007832E9"/>
    <w:rsid w:val="00785938"/>
    <w:rsid w:val="00785D70"/>
    <w:rsid w:val="00786393"/>
    <w:rsid w:val="00786E72"/>
    <w:rsid w:val="00790520"/>
    <w:rsid w:val="00791721"/>
    <w:rsid w:val="0079357F"/>
    <w:rsid w:val="007937F7"/>
    <w:rsid w:val="00794D33"/>
    <w:rsid w:val="00794D4B"/>
    <w:rsid w:val="007A3313"/>
    <w:rsid w:val="007A344A"/>
    <w:rsid w:val="007A484F"/>
    <w:rsid w:val="007A7B93"/>
    <w:rsid w:val="007B0A9C"/>
    <w:rsid w:val="007B1845"/>
    <w:rsid w:val="007B1B9A"/>
    <w:rsid w:val="007B6082"/>
    <w:rsid w:val="007B6512"/>
    <w:rsid w:val="007C594A"/>
    <w:rsid w:val="007C7C53"/>
    <w:rsid w:val="007D081E"/>
    <w:rsid w:val="007D38E6"/>
    <w:rsid w:val="007D6ABE"/>
    <w:rsid w:val="007D7829"/>
    <w:rsid w:val="007E1694"/>
    <w:rsid w:val="007E2725"/>
    <w:rsid w:val="007E2CE9"/>
    <w:rsid w:val="007E3AA9"/>
    <w:rsid w:val="007E5586"/>
    <w:rsid w:val="007E6EE5"/>
    <w:rsid w:val="007E723D"/>
    <w:rsid w:val="007E76D9"/>
    <w:rsid w:val="007F0A52"/>
    <w:rsid w:val="007F1F9C"/>
    <w:rsid w:val="007F3BD4"/>
    <w:rsid w:val="008014E7"/>
    <w:rsid w:val="00801B78"/>
    <w:rsid w:val="008037B4"/>
    <w:rsid w:val="00805185"/>
    <w:rsid w:val="00811B79"/>
    <w:rsid w:val="00813EC3"/>
    <w:rsid w:val="00814630"/>
    <w:rsid w:val="00814997"/>
    <w:rsid w:val="00815A04"/>
    <w:rsid w:val="008200D1"/>
    <w:rsid w:val="0082136F"/>
    <w:rsid w:val="0082610F"/>
    <w:rsid w:val="00826F5B"/>
    <w:rsid w:val="0082757B"/>
    <w:rsid w:val="00827B83"/>
    <w:rsid w:val="00827DF2"/>
    <w:rsid w:val="00832E96"/>
    <w:rsid w:val="00835BB0"/>
    <w:rsid w:val="008438C9"/>
    <w:rsid w:val="0084683A"/>
    <w:rsid w:val="00851049"/>
    <w:rsid w:val="00853EEE"/>
    <w:rsid w:val="008541D2"/>
    <w:rsid w:val="0085484F"/>
    <w:rsid w:val="008553C2"/>
    <w:rsid w:val="0085549F"/>
    <w:rsid w:val="00855C7F"/>
    <w:rsid w:val="0085637D"/>
    <w:rsid w:val="00857ACC"/>
    <w:rsid w:val="00857B6D"/>
    <w:rsid w:val="008607FD"/>
    <w:rsid w:val="00863C0B"/>
    <w:rsid w:val="00870E4D"/>
    <w:rsid w:val="008724B2"/>
    <w:rsid w:val="00873B6A"/>
    <w:rsid w:val="00874A23"/>
    <w:rsid w:val="008803C0"/>
    <w:rsid w:val="00886505"/>
    <w:rsid w:val="00886EBB"/>
    <w:rsid w:val="00893982"/>
    <w:rsid w:val="00896A20"/>
    <w:rsid w:val="008A1754"/>
    <w:rsid w:val="008A1F37"/>
    <w:rsid w:val="008A54EB"/>
    <w:rsid w:val="008A6B3B"/>
    <w:rsid w:val="008A79E0"/>
    <w:rsid w:val="008B790A"/>
    <w:rsid w:val="008B7C64"/>
    <w:rsid w:val="008C2CBB"/>
    <w:rsid w:val="008C3BB5"/>
    <w:rsid w:val="008C4B37"/>
    <w:rsid w:val="008D4053"/>
    <w:rsid w:val="008D60C2"/>
    <w:rsid w:val="008E3642"/>
    <w:rsid w:val="008E3EF0"/>
    <w:rsid w:val="008E4F3A"/>
    <w:rsid w:val="008E51DC"/>
    <w:rsid w:val="008E7221"/>
    <w:rsid w:val="008E73BE"/>
    <w:rsid w:val="008F2375"/>
    <w:rsid w:val="008F6381"/>
    <w:rsid w:val="008F66BD"/>
    <w:rsid w:val="008F7399"/>
    <w:rsid w:val="00900E9D"/>
    <w:rsid w:val="00900F80"/>
    <w:rsid w:val="00902A4A"/>
    <w:rsid w:val="00902C92"/>
    <w:rsid w:val="00902EC4"/>
    <w:rsid w:val="00903A11"/>
    <w:rsid w:val="00904FC5"/>
    <w:rsid w:val="009052EB"/>
    <w:rsid w:val="009056CA"/>
    <w:rsid w:val="00906033"/>
    <w:rsid w:val="009065AA"/>
    <w:rsid w:val="00912891"/>
    <w:rsid w:val="00912D0E"/>
    <w:rsid w:val="00912D2F"/>
    <w:rsid w:val="00913197"/>
    <w:rsid w:val="00913FEB"/>
    <w:rsid w:val="00915987"/>
    <w:rsid w:val="00916F1E"/>
    <w:rsid w:val="009178B7"/>
    <w:rsid w:val="009209A4"/>
    <w:rsid w:val="009220EB"/>
    <w:rsid w:val="009263D1"/>
    <w:rsid w:val="00926683"/>
    <w:rsid w:val="00927F2B"/>
    <w:rsid w:val="0093278F"/>
    <w:rsid w:val="00932DCA"/>
    <w:rsid w:val="0093335F"/>
    <w:rsid w:val="00933CDE"/>
    <w:rsid w:val="0093552C"/>
    <w:rsid w:val="009403DB"/>
    <w:rsid w:val="00941BF4"/>
    <w:rsid w:val="009436C5"/>
    <w:rsid w:val="0094461C"/>
    <w:rsid w:val="00947F40"/>
    <w:rsid w:val="0095016A"/>
    <w:rsid w:val="009519A0"/>
    <w:rsid w:val="00957BB4"/>
    <w:rsid w:val="0096005D"/>
    <w:rsid w:val="0096137A"/>
    <w:rsid w:val="0096197A"/>
    <w:rsid w:val="00962EC5"/>
    <w:rsid w:val="009633BC"/>
    <w:rsid w:val="00963C07"/>
    <w:rsid w:val="00963EC6"/>
    <w:rsid w:val="00987D06"/>
    <w:rsid w:val="00990424"/>
    <w:rsid w:val="00992271"/>
    <w:rsid w:val="009948EA"/>
    <w:rsid w:val="009960FF"/>
    <w:rsid w:val="009A187F"/>
    <w:rsid w:val="009A6592"/>
    <w:rsid w:val="009A7E16"/>
    <w:rsid w:val="009B39F7"/>
    <w:rsid w:val="009B4484"/>
    <w:rsid w:val="009B5346"/>
    <w:rsid w:val="009B5642"/>
    <w:rsid w:val="009B5BB8"/>
    <w:rsid w:val="009B5BD0"/>
    <w:rsid w:val="009C0EA5"/>
    <w:rsid w:val="009C12EE"/>
    <w:rsid w:val="009C647D"/>
    <w:rsid w:val="009C77F8"/>
    <w:rsid w:val="009D1D9B"/>
    <w:rsid w:val="009D2A48"/>
    <w:rsid w:val="009D6E60"/>
    <w:rsid w:val="009E3B75"/>
    <w:rsid w:val="009E7483"/>
    <w:rsid w:val="009F45C0"/>
    <w:rsid w:val="009F58BF"/>
    <w:rsid w:val="009F7CB3"/>
    <w:rsid w:val="00A017AB"/>
    <w:rsid w:val="00A019A7"/>
    <w:rsid w:val="00A0353B"/>
    <w:rsid w:val="00A04563"/>
    <w:rsid w:val="00A05215"/>
    <w:rsid w:val="00A07F89"/>
    <w:rsid w:val="00A14699"/>
    <w:rsid w:val="00A163F6"/>
    <w:rsid w:val="00A1680A"/>
    <w:rsid w:val="00A16A50"/>
    <w:rsid w:val="00A22866"/>
    <w:rsid w:val="00A30F8C"/>
    <w:rsid w:val="00A3216F"/>
    <w:rsid w:val="00A32A08"/>
    <w:rsid w:val="00A33C46"/>
    <w:rsid w:val="00A349C5"/>
    <w:rsid w:val="00A3563A"/>
    <w:rsid w:val="00A37566"/>
    <w:rsid w:val="00A43629"/>
    <w:rsid w:val="00A444CE"/>
    <w:rsid w:val="00A44F7E"/>
    <w:rsid w:val="00A4579B"/>
    <w:rsid w:val="00A458F6"/>
    <w:rsid w:val="00A47B29"/>
    <w:rsid w:val="00A55E60"/>
    <w:rsid w:val="00A564F1"/>
    <w:rsid w:val="00A61871"/>
    <w:rsid w:val="00A621E0"/>
    <w:rsid w:val="00A63EE8"/>
    <w:rsid w:val="00A641B6"/>
    <w:rsid w:val="00A64E07"/>
    <w:rsid w:val="00A6721B"/>
    <w:rsid w:val="00A72660"/>
    <w:rsid w:val="00A73192"/>
    <w:rsid w:val="00A75614"/>
    <w:rsid w:val="00A76A99"/>
    <w:rsid w:val="00A80395"/>
    <w:rsid w:val="00A80611"/>
    <w:rsid w:val="00A810A4"/>
    <w:rsid w:val="00A81210"/>
    <w:rsid w:val="00A82391"/>
    <w:rsid w:val="00A82A67"/>
    <w:rsid w:val="00A82D37"/>
    <w:rsid w:val="00A83518"/>
    <w:rsid w:val="00A83FC4"/>
    <w:rsid w:val="00A871E1"/>
    <w:rsid w:val="00A96A89"/>
    <w:rsid w:val="00A97AA7"/>
    <w:rsid w:val="00AA1FC4"/>
    <w:rsid w:val="00AA2A80"/>
    <w:rsid w:val="00AA3225"/>
    <w:rsid w:val="00AA4631"/>
    <w:rsid w:val="00AB1B0C"/>
    <w:rsid w:val="00AB6BD0"/>
    <w:rsid w:val="00AB7D4B"/>
    <w:rsid w:val="00AC1FFB"/>
    <w:rsid w:val="00AC2CA9"/>
    <w:rsid w:val="00AC6BC9"/>
    <w:rsid w:val="00AC7AB9"/>
    <w:rsid w:val="00AD33B4"/>
    <w:rsid w:val="00AD4042"/>
    <w:rsid w:val="00AD40CB"/>
    <w:rsid w:val="00AD46EE"/>
    <w:rsid w:val="00AD5BBA"/>
    <w:rsid w:val="00AD6688"/>
    <w:rsid w:val="00AD6F2E"/>
    <w:rsid w:val="00AD7933"/>
    <w:rsid w:val="00AD7A70"/>
    <w:rsid w:val="00AE0294"/>
    <w:rsid w:val="00AE66BF"/>
    <w:rsid w:val="00AF1420"/>
    <w:rsid w:val="00AF1AB4"/>
    <w:rsid w:val="00AF1D39"/>
    <w:rsid w:val="00B03562"/>
    <w:rsid w:val="00B03681"/>
    <w:rsid w:val="00B03A76"/>
    <w:rsid w:val="00B061A5"/>
    <w:rsid w:val="00B11E08"/>
    <w:rsid w:val="00B13A8E"/>
    <w:rsid w:val="00B15E42"/>
    <w:rsid w:val="00B2569B"/>
    <w:rsid w:val="00B25FA8"/>
    <w:rsid w:val="00B2613C"/>
    <w:rsid w:val="00B26595"/>
    <w:rsid w:val="00B27259"/>
    <w:rsid w:val="00B3150D"/>
    <w:rsid w:val="00B329AE"/>
    <w:rsid w:val="00B3348D"/>
    <w:rsid w:val="00B34470"/>
    <w:rsid w:val="00B36E99"/>
    <w:rsid w:val="00B413EF"/>
    <w:rsid w:val="00B435BD"/>
    <w:rsid w:val="00B44454"/>
    <w:rsid w:val="00B4529D"/>
    <w:rsid w:val="00B45325"/>
    <w:rsid w:val="00B55F83"/>
    <w:rsid w:val="00B564DB"/>
    <w:rsid w:val="00B56AAF"/>
    <w:rsid w:val="00B6374E"/>
    <w:rsid w:val="00B63F1C"/>
    <w:rsid w:val="00B71B8B"/>
    <w:rsid w:val="00B77D06"/>
    <w:rsid w:val="00B81E98"/>
    <w:rsid w:val="00B82882"/>
    <w:rsid w:val="00B84A8A"/>
    <w:rsid w:val="00B948F3"/>
    <w:rsid w:val="00B95EA8"/>
    <w:rsid w:val="00B97CA5"/>
    <w:rsid w:val="00BA0074"/>
    <w:rsid w:val="00BA19A3"/>
    <w:rsid w:val="00BB2A22"/>
    <w:rsid w:val="00BB37EB"/>
    <w:rsid w:val="00BB4E35"/>
    <w:rsid w:val="00BB533F"/>
    <w:rsid w:val="00BB6F7D"/>
    <w:rsid w:val="00BC138C"/>
    <w:rsid w:val="00BC25B1"/>
    <w:rsid w:val="00BC2865"/>
    <w:rsid w:val="00BC2CB4"/>
    <w:rsid w:val="00BD219E"/>
    <w:rsid w:val="00BD36C3"/>
    <w:rsid w:val="00BD3DA9"/>
    <w:rsid w:val="00BD3FB5"/>
    <w:rsid w:val="00BD434F"/>
    <w:rsid w:val="00BD7DEA"/>
    <w:rsid w:val="00BE2C86"/>
    <w:rsid w:val="00BE3A3C"/>
    <w:rsid w:val="00BE40EF"/>
    <w:rsid w:val="00BE4359"/>
    <w:rsid w:val="00BE6DEF"/>
    <w:rsid w:val="00BE7C52"/>
    <w:rsid w:val="00BE7EE3"/>
    <w:rsid w:val="00BF2AFA"/>
    <w:rsid w:val="00BF305E"/>
    <w:rsid w:val="00BF3506"/>
    <w:rsid w:val="00BF3F65"/>
    <w:rsid w:val="00BF64DB"/>
    <w:rsid w:val="00BF6BAA"/>
    <w:rsid w:val="00C02184"/>
    <w:rsid w:val="00C033CE"/>
    <w:rsid w:val="00C03ECD"/>
    <w:rsid w:val="00C064DA"/>
    <w:rsid w:val="00C0688C"/>
    <w:rsid w:val="00C076B5"/>
    <w:rsid w:val="00C10D07"/>
    <w:rsid w:val="00C1279A"/>
    <w:rsid w:val="00C12D9A"/>
    <w:rsid w:val="00C1651B"/>
    <w:rsid w:val="00C16FCA"/>
    <w:rsid w:val="00C21133"/>
    <w:rsid w:val="00C22146"/>
    <w:rsid w:val="00C2356B"/>
    <w:rsid w:val="00C26D5F"/>
    <w:rsid w:val="00C32EA4"/>
    <w:rsid w:val="00C33A03"/>
    <w:rsid w:val="00C36410"/>
    <w:rsid w:val="00C43530"/>
    <w:rsid w:val="00C528BD"/>
    <w:rsid w:val="00C541D3"/>
    <w:rsid w:val="00C54984"/>
    <w:rsid w:val="00C620A6"/>
    <w:rsid w:val="00C623F7"/>
    <w:rsid w:val="00C639C4"/>
    <w:rsid w:val="00C71462"/>
    <w:rsid w:val="00C72565"/>
    <w:rsid w:val="00C76D9C"/>
    <w:rsid w:val="00C82848"/>
    <w:rsid w:val="00C84377"/>
    <w:rsid w:val="00C90D42"/>
    <w:rsid w:val="00C90EB5"/>
    <w:rsid w:val="00C912B7"/>
    <w:rsid w:val="00C92B6D"/>
    <w:rsid w:val="00C960C3"/>
    <w:rsid w:val="00CA1274"/>
    <w:rsid w:val="00CA133D"/>
    <w:rsid w:val="00CA1B75"/>
    <w:rsid w:val="00CA5573"/>
    <w:rsid w:val="00CB64A6"/>
    <w:rsid w:val="00CC0669"/>
    <w:rsid w:val="00CC116A"/>
    <w:rsid w:val="00CC177B"/>
    <w:rsid w:val="00CC1D4B"/>
    <w:rsid w:val="00CC24D7"/>
    <w:rsid w:val="00CC45FE"/>
    <w:rsid w:val="00CD2F06"/>
    <w:rsid w:val="00CD5C85"/>
    <w:rsid w:val="00CD68DE"/>
    <w:rsid w:val="00CD6B73"/>
    <w:rsid w:val="00CD7390"/>
    <w:rsid w:val="00CE3336"/>
    <w:rsid w:val="00CE3866"/>
    <w:rsid w:val="00CE545A"/>
    <w:rsid w:val="00CE6BDD"/>
    <w:rsid w:val="00CE702B"/>
    <w:rsid w:val="00CE759E"/>
    <w:rsid w:val="00CF16A4"/>
    <w:rsid w:val="00CF3018"/>
    <w:rsid w:val="00CF3376"/>
    <w:rsid w:val="00D0155F"/>
    <w:rsid w:val="00D01D95"/>
    <w:rsid w:val="00D0338F"/>
    <w:rsid w:val="00D03BB3"/>
    <w:rsid w:val="00D11F31"/>
    <w:rsid w:val="00D12AD1"/>
    <w:rsid w:val="00D17566"/>
    <w:rsid w:val="00D20D7E"/>
    <w:rsid w:val="00D215A6"/>
    <w:rsid w:val="00D216E4"/>
    <w:rsid w:val="00D21B33"/>
    <w:rsid w:val="00D24132"/>
    <w:rsid w:val="00D259D5"/>
    <w:rsid w:val="00D3053D"/>
    <w:rsid w:val="00D31A56"/>
    <w:rsid w:val="00D32D78"/>
    <w:rsid w:val="00D34A19"/>
    <w:rsid w:val="00D40F8A"/>
    <w:rsid w:val="00D42AB1"/>
    <w:rsid w:val="00D44655"/>
    <w:rsid w:val="00D456B3"/>
    <w:rsid w:val="00D479DB"/>
    <w:rsid w:val="00D50138"/>
    <w:rsid w:val="00D50792"/>
    <w:rsid w:val="00D510EC"/>
    <w:rsid w:val="00D532B3"/>
    <w:rsid w:val="00D5339F"/>
    <w:rsid w:val="00D559E8"/>
    <w:rsid w:val="00D577A3"/>
    <w:rsid w:val="00D621A8"/>
    <w:rsid w:val="00D62F1B"/>
    <w:rsid w:val="00D631D2"/>
    <w:rsid w:val="00D64556"/>
    <w:rsid w:val="00D6593A"/>
    <w:rsid w:val="00D70DCC"/>
    <w:rsid w:val="00D73A75"/>
    <w:rsid w:val="00D757C9"/>
    <w:rsid w:val="00D7728E"/>
    <w:rsid w:val="00D80561"/>
    <w:rsid w:val="00D806FA"/>
    <w:rsid w:val="00D816A5"/>
    <w:rsid w:val="00D8182C"/>
    <w:rsid w:val="00D83F12"/>
    <w:rsid w:val="00D91E44"/>
    <w:rsid w:val="00D959A6"/>
    <w:rsid w:val="00D97CB6"/>
    <w:rsid w:val="00DA15BF"/>
    <w:rsid w:val="00DA49B2"/>
    <w:rsid w:val="00DA559E"/>
    <w:rsid w:val="00DA55BF"/>
    <w:rsid w:val="00DA6A84"/>
    <w:rsid w:val="00DA6C1F"/>
    <w:rsid w:val="00DA6FDC"/>
    <w:rsid w:val="00DB01BC"/>
    <w:rsid w:val="00DB1F15"/>
    <w:rsid w:val="00DC0D7A"/>
    <w:rsid w:val="00DC1C95"/>
    <w:rsid w:val="00DC5D8F"/>
    <w:rsid w:val="00DC615D"/>
    <w:rsid w:val="00DD1ED6"/>
    <w:rsid w:val="00DD6CCA"/>
    <w:rsid w:val="00DE024A"/>
    <w:rsid w:val="00DE3392"/>
    <w:rsid w:val="00DE4E3E"/>
    <w:rsid w:val="00DE5746"/>
    <w:rsid w:val="00DE796A"/>
    <w:rsid w:val="00DE7DD6"/>
    <w:rsid w:val="00DF170C"/>
    <w:rsid w:val="00DF69C1"/>
    <w:rsid w:val="00DF7383"/>
    <w:rsid w:val="00DF7491"/>
    <w:rsid w:val="00E0062C"/>
    <w:rsid w:val="00E019FB"/>
    <w:rsid w:val="00E03C1B"/>
    <w:rsid w:val="00E05297"/>
    <w:rsid w:val="00E0594D"/>
    <w:rsid w:val="00E06578"/>
    <w:rsid w:val="00E07B2C"/>
    <w:rsid w:val="00E14422"/>
    <w:rsid w:val="00E14C92"/>
    <w:rsid w:val="00E16B79"/>
    <w:rsid w:val="00E21745"/>
    <w:rsid w:val="00E30796"/>
    <w:rsid w:val="00E32531"/>
    <w:rsid w:val="00E51E24"/>
    <w:rsid w:val="00E5480E"/>
    <w:rsid w:val="00E55464"/>
    <w:rsid w:val="00E572E9"/>
    <w:rsid w:val="00E60590"/>
    <w:rsid w:val="00E60B61"/>
    <w:rsid w:val="00E615A1"/>
    <w:rsid w:val="00E65175"/>
    <w:rsid w:val="00E67541"/>
    <w:rsid w:val="00E70C4B"/>
    <w:rsid w:val="00E72BF3"/>
    <w:rsid w:val="00E73D51"/>
    <w:rsid w:val="00E74A75"/>
    <w:rsid w:val="00E76340"/>
    <w:rsid w:val="00E7785C"/>
    <w:rsid w:val="00E80996"/>
    <w:rsid w:val="00E85C1C"/>
    <w:rsid w:val="00E86D61"/>
    <w:rsid w:val="00E87A10"/>
    <w:rsid w:val="00EA365D"/>
    <w:rsid w:val="00EA432F"/>
    <w:rsid w:val="00EA477F"/>
    <w:rsid w:val="00EA7A5A"/>
    <w:rsid w:val="00EB1083"/>
    <w:rsid w:val="00EB566A"/>
    <w:rsid w:val="00EB589F"/>
    <w:rsid w:val="00EB7A12"/>
    <w:rsid w:val="00EC3A39"/>
    <w:rsid w:val="00EC601B"/>
    <w:rsid w:val="00EC6173"/>
    <w:rsid w:val="00EC625A"/>
    <w:rsid w:val="00EC6367"/>
    <w:rsid w:val="00EC7340"/>
    <w:rsid w:val="00ED4C5C"/>
    <w:rsid w:val="00EE1156"/>
    <w:rsid w:val="00EE4002"/>
    <w:rsid w:val="00EE593A"/>
    <w:rsid w:val="00EE5AB4"/>
    <w:rsid w:val="00EE69DC"/>
    <w:rsid w:val="00F01423"/>
    <w:rsid w:val="00F037E6"/>
    <w:rsid w:val="00F10B93"/>
    <w:rsid w:val="00F1144A"/>
    <w:rsid w:val="00F12074"/>
    <w:rsid w:val="00F144B0"/>
    <w:rsid w:val="00F15960"/>
    <w:rsid w:val="00F1661B"/>
    <w:rsid w:val="00F16C84"/>
    <w:rsid w:val="00F17FB7"/>
    <w:rsid w:val="00F21038"/>
    <w:rsid w:val="00F23903"/>
    <w:rsid w:val="00F30402"/>
    <w:rsid w:val="00F30A82"/>
    <w:rsid w:val="00F30A85"/>
    <w:rsid w:val="00F32D94"/>
    <w:rsid w:val="00F36535"/>
    <w:rsid w:val="00F36A85"/>
    <w:rsid w:val="00F47F63"/>
    <w:rsid w:val="00F5210E"/>
    <w:rsid w:val="00F65505"/>
    <w:rsid w:val="00F71047"/>
    <w:rsid w:val="00F72CE7"/>
    <w:rsid w:val="00F73E0A"/>
    <w:rsid w:val="00F75300"/>
    <w:rsid w:val="00F76D0D"/>
    <w:rsid w:val="00F83A8B"/>
    <w:rsid w:val="00F84E71"/>
    <w:rsid w:val="00F86192"/>
    <w:rsid w:val="00F86219"/>
    <w:rsid w:val="00F86611"/>
    <w:rsid w:val="00F94E68"/>
    <w:rsid w:val="00F94E8D"/>
    <w:rsid w:val="00F960DA"/>
    <w:rsid w:val="00F960F1"/>
    <w:rsid w:val="00F96890"/>
    <w:rsid w:val="00FA1948"/>
    <w:rsid w:val="00FA65FB"/>
    <w:rsid w:val="00FA67C9"/>
    <w:rsid w:val="00FB21CC"/>
    <w:rsid w:val="00FB37EA"/>
    <w:rsid w:val="00FB6465"/>
    <w:rsid w:val="00FC3387"/>
    <w:rsid w:val="00FC45CE"/>
    <w:rsid w:val="00FC5D71"/>
    <w:rsid w:val="00FC72B2"/>
    <w:rsid w:val="00FC752B"/>
    <w:rsid w:val="00FC774D"/>
    <w:rsid w:val="00FD233F"/>
    <w:rsid w:val="00FD3DFA"/>
    <w:rsid w:val="00FD7A90"/>
    <w:rsid w:val="00FE1063"/>
    <w:rsid w:val="00FE3345"/>
    <w:rsid w:val="00FE62E7"/>
    <w:rsid w:val="00FF279C"/>
    <w:rsid w:val="00FF3B6E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4EDAA9D"/>
  <w15:chartTrackingRefBased/>
  <w15:docId w15:val="{81FC41EA-70BB-4993-AC95-E2AFEA10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0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81E"/>
    <w:pPr>
      <w:ind w:left="720"/>
    </w:pPr>
  </w:style>
  <w:style w:type="character" w:customStyle="1" w:styleId="pseditboxdisponly1">
    <w:name w:val="pseditbox_disponly1"/>
    <w:rsid w:val="007A7B93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paragraph" w:styleId="Revision">
    <w:name w:val="Revision"/>
    <w:hidden/>
    <w:uiPriority w:val="99"/>
    <w:semiHidden/>
    <w:rsid w:val="00A61871"/>
    <w:rPr>
      <w:sz w:val="24"/>
      <w:szCs w:val="24"/>
    </w:rPr>
  </w:style>
  <w:style w:type="character" w:styleId="Hyperlink">
    <w:name w:val="Hyperlink"/>
    <w:rsid w:val="00A6187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61871"/>
    <w:rPr>
      <w:color w:val="605E5C"/>
      <w:shd w:val="clear" w:color="auto" w:fill="E1DFDD"/>
    </w:rPr>
  </w:style>
  <w:style w:type="table" w:styleId="TableGrid">
    <w:name w:val="Table Grid"/>
    <w:basedOn w:val="TableNormal"/>
    <w:rsid w:val="0055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FB64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4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6465"/>
  </w:style>
  <w:style w:type="paragraph" w:styleId="CommentSubject">
    <w:name w:val="annotation subject"/>
    <w:basedOn w:val="CommentText"/>
    <w:next w:val="CommentText"/>
    <w:link w:val="CommentSubjectChar"/>
    <w:rsid w:val="00FB6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6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3992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employees.losrios.edu/lrccd/employee/doc/hr/forms/p-14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941</Words>
  <Characters>4643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Paying off Load Balancing for Full Time Faculty</vt:lpstr>
    </vt:vector>
  </TitlesOfParts>
  <Company>Los Rios ITD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Paying off Load Balancing for Full Time Faculty</dc:title>
  <dc:subject/>
  <dc:creator>cunyt</dc:creator>
  <cp:keywords/>
  <dc:description/>
  <cp:lastModifiedBy>Bray, Carrie</cp:lastModifiedBy>
  <cp:revision>2</cp:revision>
  <cp:lastPrinted>2010-05-18T19:28:00Z</cp:lastPrinted>
  <dcterms:created xsi:type="dcterms:W3CDTF">2024-02-12T22:27:00Z</dcterms:created>
  <dcterms:modified xsi:type="dcterms:W3CDTF">2024-02-12T22:27:00Z</dcterms:modified>
</cp:coreProperties>
</file>