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Meeting/Retreat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Jan. 21,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Alternate Location/In-Person Event</w:t>
      </w:r>
    </w:p>
    <w:p w:rsidR="00000000" w:rsidDel="00000000" w:rsidP="00000000" w:rsidRDefault="00000000" w:rsidRPr="00000000" w14:paraId="00000005">
      <w:pPr>
        <w:jc w:val="center"/>
        <w:rPr>
          <w:b w:val="1"/>
          <w:sz w:val="27"/>
          <w:szCs w:val="27"/>
        </w:rPr>
      </w:pPr>
      <w:r w:rsidDel="00000000" w:rsidR="00000000" w:rsidRPr="00000000">
        <w:rPr>
          <w:b w:val="1"/>
          <w:sz w:val="27"/>
          <w:szCs w:val="27"/>
          <w:rtl w:val="0"/>
        </w:rPr>
        <w:t xml:space="preserve">Los Rios Board Room</w:t>
      </w:r>
    </w:p>
    <w:p w:rsidR="00000000" w:rsidDel="00000000" w:rsidP="00000000" w:rsidRDefault="00000000" w:rsidRPr="00000000" w14:paraId="00000006">
      <w:pPr>
        <w:jc w:val="center"/>
        <w:rPr>
          <w:b w:val="1"/>
          <w:sz w:val="21"/>
          <w:szCs w:val="21"/>
        </w:rPr>
      </w:pPr>
      <w:r w:rsidDel="00000000" w:rsidR="00000000" w:rsidRPr="00000000">
        <w:rPr>
          <w:b w:val="1"/>
          <w:sz w:val="21"/>
          <w:szCs w:val="21"/>
          <w:rtl w:val="0"/>
        </w:rPr>
        <w:t xml:space="preserve">(light refreshments will be served)</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2"/>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2"/>
        </w:numPr>
        <w:ind w:left="720" w:hanging="360"/>
        <w:rPr>
          <w:sz w:val="20"/>
          <w:szCs w:val="20"/>
        </w:rPr>
      </w:pPr>
      <w:r w:rsidDel="00000000" w:rsidR="00000000" w:rsidRPr="00000000">
        <w:rPr>
          <w:sz w:val="20"/>
          <w:szCs w:val="20"/>
          <w:rtl w:val="0"/>
        </w:rPr>
        <w:t xml:space="preserve">Land Acknowledgement (FLC)</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2"/>
        </w:numPr>
        <w:ind w:left="1440" w:hanging="360"/>
        <w:rPr>
          <w:sz w:val="20"/>
          <w:szCs w:val="20"/>
        </w:rPr>
      </w:pPr>
      <w:r w:rsidDel="00000000" w:rsidR="00000000" w:rsidRPr="00000000">
        <w:rPr>
          <w:sz w:val="20"/>
          <w:szCs w:val="20"/>
          <w:rtl w:val="0"/>
        </w:rPr>
        <w:t xml:space="preserve">Dec. 17, 2024</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2"/>
        </w:numPr>
        <w:ind w:left="1440" w:hanging="360"/>
        <w:rPr>
          <w:sz w:val="20"/>
          <w:szCs w:val="20"/>
          <w:u w:val="none"/>
        </w:rPr>
      </w:pPr>
      <w:r w:rsidDel="00000000" w:rsidR="00000000" w:rsidRPr="00000000">
        <w:rPr>
          <w:sz w:val="20"/>
          <w:szCs w:val="20"/>
          <w:rtl w:val="0"/>
        </w:rPr>
        <w:t xml:space="preserve">PREP Update</w:t>
      </w:r>
    </w:p>
    <w:p w:rsidR="00000000" w:rsidDel="00000000" w:rsidP="00000000" w:rsidRDefault="00000000" w:rsidRPr="00000000" w14:paraId="00000012">
      <w:pPr>
        <w:rPr>
          <w:sz w:val="20"/>
          <w:szCs w:val="20"/>
        </w:rPr>
      </w:pPr>
      <w:r w:rsidDel="00000000" w:rsidR="00000000" w:rsidRPr="00000000">
        <w:rPr>
          <w:sz w:val="20"/>
          <w:szCs w:val="20"/>
          <w:rtl w:val="0"/>
        </w:rPr>
        <w:tab/>
      </w:r>
    </w:p>
    <w:p w:rsidR="00000000" w:rsidDel="00000000" w:rsidP="00000000" w:rsidRDefault="00000000" w:rsidRPr="00000000" w14:paraId="00000013">
      <w:pPr>
        <w:rPr>
          <w:sz w:val="20"/>
          <w:szCs w:val="20"/>
        </w:rPr>
      </w:pPr>
      <w:r w:rsidDel="00000000" w:rsidR="00000000" w:rsidRPr="00000000">
        <w:rPr>
          <w:sz w:val="20"/>
          <w:szCs w:val="20"/>
          <w:rtl w:val="0"/>
        </w:rPr>
        <w:t xml:space="preserve">Information Items: none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6">
      <w:pPr>
        <w:numPr>
          <w:ilvl w:val="0"/>
          <w:numId w:val="4"/>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7">
      <w:pPr>
        <w:numPr>
          <w:ilvl w:val="0"/>
          <w:numId w:val="4"/>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9">
      <w:pPr>
        <w:numPr>
          <w:ilvl w:val="0"/>
          <w:numId w:val="4"/>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A">
      <w:pPr>
        <w:numPr>
          <w:ilvl w:val="0"/>
          <w:numId w:val="4"/>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1B">
      <w:pPr>
        <w:numPr>
          <w:ilvl w:val="0"/>
          <w:numId w:val="4"/>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1F">
      <w:pPr>
        <w:numPr>
          <w:ilvl w:val="0"/>
          <w:numId w:val="7"/>
        </w:numPr>
        <w:ind w:left="720" w:hanging="360"/>
        <w:rPr>
          <w:sz w:val="20"/>
          <w:szCs w:val="20"/>
          <w:u w:val="none"/>
        </w:rPr>
      </w:pPr>
      <w:r w:rsidDel="00000000" w:rsidR="00000000" w:rsidRPr="00000000">
        <w:rPr>
          <w:sz w:val="20"/>
          <w:szCs w:val="20"/>
          <w:rtl w:val="0"/>
        </w:rPr>
        <w:t xml:space="preserve">District Instructional Accessibility Committee proposed recommendation </w:t>
      </w:r>
      <w:r w:rsidDel="00000000" w:rsidR="00000000" w:rsidRPr="00000000">
        <w:rPr>
          <w:rFonts w:ascii="Calibri" w:cs="Calibri" w:eastAsia="Calibri" w:hAnsi="Calibri"/>
          <w:sz w:val="24"/>
          <w:szCs w:val="24"/>
          <w:rtl w:val="0"/>
        </w:rPr>
        <w:t xml:space="preserve">that the Los Rios Community College District formally partner with the CCC Accessibility Center to engage in the</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Accessibility Capability Maturity Model (ACMM)</w:t>
        </w:r>
      </w:hyperlink>
      <w:r w:rsidDel="00000000" w:rsidR="00000000" w:rsidRPr="00000000">
        <w:rPr>
          <w:rFonts w:ascii="Calibri" w:cs="Calibri" w:eastAsia="Calibri" w:hAnsi="Calibri"/>
          <w:sz w:val="24"/>
          <w:szCs w:val="24"/>
          <w:rtl w:val="0"/>
        </w:rPr>
        <w:t xml:space="preserve"> — a transformative framework designed to guide colleges and districts in advancing digital accessibility starting Spring 25 </w:t>
      </w:r>
      <w:r w:rsidDel="00000000" w:rsidR="00000000" w:rsidRPr="00000000">
        <w:rPr>
          <w:sz w:val="20"/>
          <w:szCs w:val="20"/>
          <w:rtl w:val="0"/>
        </w:rPr>
        <w:t xml:space="preserve">(first reading)</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Discussion/Activities (10-15 minutes per item)</w:t>
      </w:r>
    </w:p>
    <w:p w:rsidR="00000000" w:rsidDel="00000000" w:rsidP="00000000" w:rsidRDefault="00000000" w:rsidRPr="00000000" w14:paraId="00000022">
      <w:pPr>
        <w:numPr>
          <w:ilvl w:val="0"/>
          <w:numId w:val="6"/>
        </w:numPr>
        <w:ind w:left="720" w:hanging="360"/>
        <w:rPr>
          <w:sz w:val="20"/>
          <w:szCs w:val="20"/>
          <w:u w:val="none"/>
        </w:rPr>
      </w:pPr>
      <w:r w:rsidDel="00000000" w:rsidR="00000000" w:rsidRPr="00000000">
        <w:rPr>
          <w:sz w:val="20"/>
          <w:szCs w:val="20"/>
          <w:rtl w:val="0"/>
        </w:rPr>
        <w:t xml:space="preserve">Regulation Revelations:  Regulation 3412</w:t>
      </w:r>
    </w:p>
    <w:p w:rsidR="00000000" w:rsidDel="00000000" w:rsidP="00000000" w:rsidRDefault="00000000" w:rsidRPr="00000000" w14:paraId="00000023">
      <w:pPr>
        <w:numPr>
          <w:ilvl w:val="0"/>
          <w:numId w:val="6"/>
        </w:numPr>
        <w:ind w:left="720" w:hanging="360"/>
        <w:rPr>
          <w:sz w:val="20"/>
          <w:szCs w:val="20"/>
          <w:u w:val="none"/>
        </w:rPr>
      </w:pPr>
      <w:r w:rsidDel="00000000" w:rsidR="00000000" w:rsidRPr="00000000">
        <w:rPr>
          <w:sz w:val="20"/>
          <w:szCs w:val="20"/>
          <w:rtl w:val="0"/>
        </w:rPr>
        <w:t xml:space="preserve">DAS Delve: By-laws Edition</w:t>
      </w:r>
    </w:p>
    <w:p w:rsidR="00000000" w:rsidDel="00000000" w:rsidP="00000000" w:rsidRDefault="00000000" w:rsidRPr="00000000" w14:paraId="00000024">
      <w:pPr>
        <w:ind w:left="720" w:firstLine="0"/>
        <w:rPr>
          <w:sz w:val="20"/>
          <w:szCs w:val="20"/>
        </w:rPr>
      </w:pPr>
      <w:r w:rsidDel="00000000" w:rsidR="00000000" w:rsidRPr="00000000">
        <w:rPr>
          <w:sz w:val="20"/>
          <w:szCs w:val="20"/>
          <w:rtl w:val="0"/>
        </w:rPr>
        <w:t xml:space="preserve">Goals for Spring 25:</w:t>
      </w:r>
    </w:p>
    <w:p w:rsidR="00000000" w:rsidDel="00000000" w:rsidP="00000000" w:rsidRDefault="00000000" w:rsidRPr="00000000" w14:paraId="00000025">
      <w:pPr>
        <w:numPr>
          <w:ilvl w:val="1"/>
          <w:numId w:val="6"/>
        </w:numPr>
        <w:ind w:left="1440" w:hanging="360"/>
        <w:rPr>
          <w:sz w:val="20"/>
          <w:szCs w:val="20"/>
          <w:u w:val="none"/>
        </w:rPr>
      </w:pPr>
      <w:r w:rsidDel="00000000" w:rsidR="00000000" w:rsidRPr="00000000">
        <w:rPr>
          <w:sz w:val="20"/>
          <w:szCs w:val="20"/>
          <w:rtl w:val="0"/>
        </w:rPr>
        <w:t xml:space="preserve">What do we plan to accomplish?</w:t>
      </w:r>
    </w:p>
    <w:p w:rsidR="00000000" w:rsidDel="00000000" w:rsidP="00000000" w:rsidRDefault="00000000" w:rsidRPr="00000000" w14:paraId="00000026">
      <w:pPr>
        <w:numPr>
          <w:ilvl w:val="2"/>
          <w:numId w:val="6"/>
        </w:numPr>
        <w:ind w:left="2160" w:hanging="360"/>
        <w:rPr>
          <w:sz w:val="20"/>
          <w:szCs w:val="20"/>
          <w:u w:val="none"/>
        </w:rPr>
      </w:pPr>
      <w:r w:rsidDel="00000000" w:rsidR="00000000" w:rsidRPr="00000000">
        <w:rPr>
          <w:sz w:val="20"/>
          <w:szCs w:val="20"/>
          <w:rtl w:val="0"/>
        </w:rPr>
        <w:t xml:space="preserve">District Committee Vacancies</w:t>
      </w:r>
    </w:p>
    <w:p w:rsidR="00000000" w:rsidDel="00000000" w:rsidP="00000000" w:rsidRDefault="00000000" w:rsidRPr="00000000" w14:paraId="00000027">
      <w:pPr>
        <w:numPr>
          <w:ilvl w:val="1"/>
          <w:numId w:val="6"/>
        </w:numPr>
        <w:ind w:left="1440" w:hanging="360"/>
        <w:rPr>
          <w:sz w:val="20"/>
          <w:szCs w:val="20"/>
          <w:u w:val="none"/>
        </w:rPr>
      </w:pPr>
      <w:r w:rsidDel="00000000" w:rsidR="00000000" w:rsidRPr="00000000">
        <w:rPr>
          <w:sz w:val="20"/>
          <w:szCs w:val="20"/>
          <w:rtl w:val="0"/>
        </w:rPr>
        <w:t xml:space="preserve">How do we wish to accomplish it?</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2C">
      <w:pPr>
        <w:numPr>
          <w:ilvl w:val="0"/>
          <w:numId w:val="3"/>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2D">
      <w:pPr>
        <w:numPr>
          <w:ilvl w:val="0"/>
          <w:numId w:val="3"/>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2E">
      <w:pPr>
        <w:ind w:left="720" w:firstLine="0"/>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0">
      <w:pPr>
        <w:numPr>
          <w:ilvl w:val="0"/>
          <w:numId w:val="5"/>
        </w:numPr>
        <w:ind w:left="720" w:hanging="360"/>
        <w:rPr>
          <w:sz w:val="20"/>
          <w:szCs w:val="20"/>
        </w:rPr>
      </w:pPr>
      <w:r w:rsidDel="00000000" w:rsidR="00000000" w:rsidRPr="00000000">
        <w:rPr>
          <w:sz w:val="20"/>
          <w:szCs w:val="20"/>
          <w:rtl w:val="0"/>
        </w:rPr>
        <w:t xml:space="preserve">Regulation 7421 (Work Experience Education)</w:t>
      </w:r>
    </w:p>
    <w:p w:rsidR="00000000" w:rsidDel="00000000" w:rsidP="00000000" w:rsidRDefault="00000000" w:rsidRPr="00000000" w14:paraId="00000031">
      <w:pPr>
        <w:numPr>
          <w:ilvl w:val="0"/>
          <w:numId w:val="5"/>
        </w:numPr>
        <w:ind w:left="720" w:hanging="360"/>
        <w:rPr>
          <w:sz w:val="20"/>
          <w:szCs w:val="20"/>
          <w:u w:val="none"/>
        </w:rPr>
      </w:pPr>
      <w:r w:rsidDel="00000000" w:rsidR="00000000" w:rsidRPr="00000000">
        <w:rPr>
          <w:sz w:val="20"/>
          <w:szCs w:val="20"/>
          <w:rtl w:val="0"/>
        </w:rPr>
        <w:t xml:space="preserve">Regulation 7151 (International Education)</w:t>
      </w:r>
    </w:p>
    <w:p w:rsidR="00000000" w:rsidDel="00000000" w:rsidP="00000000" w:rsidRDefault="00000000" w:rsidRPr="00000000" w14:paraId="00000032">
      <w:pPr>
        <w:numPr>
          <w:ilvl w:val="0"/>
          <w:numId w:val="5"/>
        </w:numPr>
        <w:ind w:left="720" w:hanging="360"/>
        <w:rPr>
          <w:sz w:val="20"/>
          <w:szCs w:val="20"/>
          <w:u w:val="none"/>
        </w:rPr>
      </w:pPr>
      <w:r w:rsidDel="00000000" w:rsidR="00000000" w:rsidRPr="00000000">
        <w:rPr>
          <w:sz w:val="20"/>
          <w:szCs w:val="20"/>
          <w:rtl w:val="0"/>
        </w:rPr>
        <w:t xml:space="preserve">Committee Charge DIAC</w:t>
      </w:r>
    </w:p>
    <w:p w:rsidR="00000000" w:rsidDel="00000000" w:rsidP="00000000" w:rsidRDefault="00000000" w:rsidRPr="00000000" w14:paraId="00000033">
      <w:pPr>
        <w:numPr>
          <w:ilvl w:val="0"/>
          <w:numId w:val="5"/>
        </w:numPr>
        <w:ind w:left="720" w:hanging="360"/>
        <w:rPr>
          <w:sz w:val="20"/>
          <w:szCs w:val="20"/>
        </w:rPr>
      </w:pPr>
      <w:r w:rsidDel="00000000" w:rsidR="00000000" w:rsidRPr="00000000">
        <w:rPr>
          <w:sz w:val="20"/>
          <w:szCs w:val="20"/>
          <w:rtl w:val="0"/>
        </w:rPr>
        <w:t xml:space="preserve">Recommendation re: faculty on 2nd round hiring committees</w:t>
      </w:r>
    </w:p>
    <w:p w:rsidR="00000000" w:rsidDel="00000000" w:rsidP="00000000" w:rsidRDefault="00000000" w:rsidRPr="00000000" w14:paraId="00000034">
      <w:pPr>
        <w:numPr>
          <w:ilvl w:val="0"/>
          <w:numId w:val="5"/>
        </w:numPr>
        <w:ind w:left="720" w:hanging="360"/>
        <w:rPr>
          <w:sz w:val="20"/>
          <w:szCs w:val="20"/>
        </w:rPr>
      </w:pPr>
      <w:r w:rsidDel="00000000" w:rsidR="00000000" w:rsidRPr="00000000">
        <w:rPr>
          <w:sz w:val="20"/>
          <w:szCs w:val="20"/>
          <w:rtl w:val="0"/>
        </w:rPr>
        <w:t xml:space="preserve">Recommendation to remove chatbot feature:</w:t>
      </w:r>
    </w:p>
    <w:p w:rsidR="00000000" w:rsidDel="00000000" w:rsidP="00000000" w:rsidRDefault="00000000" w:rsidRPr="00000000" w14:paraId="00000035">
      <w:pPr>
        <w:numPr>
          <w:ilvl w:val="0"/>
          <w:numId w:val="5"/>
        </w:numPr>
        <w:ind w:left="720" w:hanging="360"/>
        <w:rPr>
          <w:sz w:val="20"/>
          <w:szCs w:val="20"/>
        </w:rPr>
      </w:pPr>
      <w:r w:rsidDel="00000000" w:rsidR="00000000" w:rsidRPr="00000000">
        <w:rPr>
          <w:sz w:val="20"/>
          <w:szCs w:val="20"/>
          <w:rtl w:val="0"/>
        </w:rPr>
        <w:t xml:space="preserve">Faculty Hiring Manual Revisions: LTT Hiring Process</w:t>
      </w:r>
    </w:p>
    <w:p w:rsidR="00000000" w:rsidDel="00000000" w:rsidP="00000000" w:rsidRDefault="00000000" w:rsidRPr="00000000" w14:paraId="00000036">
      <w:pPr>
        <w:numPr>
          <w:ilvl w:val="0"/>
          <w:numId w:val="5"/>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37">
      <w:pPr>
        <w:numPr>
          <w:ilvl w:val="0"/>
          <w:numId w:val="5"/>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numPr>
          <w:ilvl w:val="0"/>
          <w:numId w:val="1"/>
        </w:numPr>
        <w:ind w:left="720" w:hanging="360"/>
        <w:rPr>
          <w:sz w:val="20"/>
          <w:szCs w:val="20"/>
          <w:u w:val="none"/>
        </w:rPr>
      </w:pPr>
      <w:r w:rsidDel="00000000" w:rsidR="00000000" w:rsidRPr="00000000">
        <w:rPr>
          <w:sz w:val="20"/>
          <w:szCs w:val="20"/>
          <w:rtl w:val="0"/>
        </w:rPr>
        <w:t xml:space="preserve">January 23: District Ed Tech Committee</w:t>
      </w:r>
    </w:p>
    <w:p w:rsidR="00000000" w:rsidDel="00000000" w:rsidP="00000000" w:rsidRDefault="00000000" w:rsidRPr="00000000" w14:paraId="0000003C">
      <w:pPr>
        <w:numPr>
          <w:ilvl w:val="0"/>
          <w:numId w:val="1"/>
        </w:numPr>
        <w:ind w:left="720" w:hanging="360"/>
        <w:rPr>
          <w:sz w:val="20"/>
          <w:szCs w:val="20"/>
          <w:u w:val="none"/>
        </w:rPr>
      </w:pPr>
      <w:r w:rsidDel="00000000" w:rsidR="00000000" w:rsidRPr="00000000">
        <w:rPr>
          <w:sz w:val="20"/>
          <w:szCs w:val="20"/>
          <w:rtl w:val="0"/>
        </w:rPr>
        <w:t xml:space="preserve">January 24: DCCC Meeting</w:t>
      </w:r>
    </w:p>
    <w:p w:rsidR="00000000" w:rsidDel="00000000" w:rsidP="00000000" w:rsidRDefault="00000000" w:rsidRPr="00000000" w14:paraId="0000003D">
      <w:pPr>
        <w:numPr>
          <w:ilvl w:val="0"/>
          <w:numId w:val="1"/>
        </w:numPr>
        <w:ind w:left="720" w:hanging="360"/>
        <w:rPr>
          <w:sz w:val="20"/>
          <w:szCs w:val="20"/>
          <w:u w:val="none"/>
        </w:rPr>
      </w:pPr>
      <w:r w:rsidDel="00000000" w:rsidR="00000000" w:rsidRPr="00000000">
        <w:rPr>
          <w:sz w:val="20"/>
          <w:szCs w:val="20"/>
          <w:rtl w:val="0"/>
        </w:rPr>
        <w:t xml:space="preserve">January 27: DESSC Committee</w:t>
      </w:r>
    </w:p>
    <w:p w:rsidR="00000000" w:rsidDel="00000000" w:rsidP="00000000" w:rsidRDefault="00000000" w:rsidRPr="00000000" w14:paraId="0000003E">
      <w:pPr>
        <w:numPr>
          <w:ilvl w:val="0"/>
          <w:numId w:val="1"/>
        </w:numPr>
        <w:ind w:left="720" w:hanging="360"/>
        <w:rPr>
          <w:sz w:val="20"/>
          <w:szCs w:val="20"/>
          <w:u w:val="none"/>
        </w:rPr>
      </w:pPr>
      <w:r w:rsidDel="00000000" w:rsidR="00000000" w:rsidRPr="00000000">
        <w:rPr>
          <w:sz w:val="20"/>
          <w:szCs w:val="20"/>
          <w:rtl w:val="0"/>
        </w:rPr>
        <w:t xml:space="preserve">February 3: District Affordable Learning Materials Committee</w:t>
      </w:r>
    </w:p>
    <w:p w:rsidR="00000000" w:rsidDel="00000000" w:rsidP="00000000" w:rsidRDefault="00000000" w:rsidRPr="00000000" w14:paraId="0000003F">
      <w:pPr>
        <w:numPr>
          <w:ilvl w:val="0"/>
          <w:numId w:val="1"/>
        </w:numPr>
        <w:ind w:left="720" w:hanging="360"/>
        <w:rPr>
          <w:sz w:val="20"/>
          <w:szCs w:val="20"/>
          <w:u w:val="none"/>
        </w:rPr>
      </w:pPr>
      <w:r w:rsidDel="00000000" w:rsidR="00000000" w:rsidRPr="00000000">
        <w:rPr>
          <w:sz w:val="20"/>
          <w:szCs w:val="20"/>
          <w:rtl w:val="0"/>
        </w:rPr>
        <w:t xml:space="preserve">February 4: District Academic Senate Meeting </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spacing w:after="240" w:before="240" w:lineRule="auto"/>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ind w:left="720" w:firstLine="0"/>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B">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4E">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1">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4">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8" w:type="default"/>
      <w:headerReference r:id="rId9" w:type="first"/>
      <w:footerReference r:id="rId1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A">
    <w:pPr>
      <w:jc w:val="right"/>
      <w:rPr/>
    </w:pPr>
    <w:r w:rsidDel="00000000" w:rsidR="00000000" w:rsidRPr="00000000">
      <w:rPr>
        <w:rtl w:val="0"/>
      </w:rPr>
      <w:t xml:space="preserve">ARC President Brian Knirk</w:t>
    </w:r>
  </w:p>
  <w:p w:rsidR="00000000" w:rsidDel="00000000" w:rsidP="00000000" w:rsidRDefault="00000000" w:rsidRPr="00000000" w14:paraId="0000005B">
    <w:pPr>
      <w:jc w:val="right"/>
      <w:rPr/>
    </w:pPr>
    <w:r w:rsidDel="00000000" w:rsidR="00000000" w:rsidRPr="00000000">
      <w:rPr>
        <w:rtl w:val="0"/>
      </w:rPr>
      <w:t xml:space="preserve">CRC President Jacob Velasquez</w:t>
      <w:tab/>
    </w:r>
  </w:p>
  <w:p w:rsidR="00000000" w:rsidDel="00000000" w:rsidP="00000000" w:rsidRDefault="00000000" w:rsidRPr="00000000" w14:paraId="0000005C">
    <w:pPr>
      <w:jc w:val="right"/>
      <w:rPr/>
    </w:pPr>
    <w:r w:rsidDel="00000000" w:rsidR="00000000" w:rsidRPr="00000000">
      <w:rPr>
        <w:rtl w:val="0"/>
      </w:rPr>
      <w:t xml:space="preserve">FLC President Eric Wada</w:t>
    </w:r>
  </w:p>
  <w:p w:rsidR="00000000" w:rsidDel="00000000" w:rsidP="00000000" w:rsidRDefault="00000000" w:rsidRPr="00000000" w14:paraId="0000005D">
    <w:pPr>
      <w:jc w:val="right"/>
      <w:rPr/>
    </w:pPr>
    <w:r w:rsidDel="00000000" w:rsidR="00000000" w:rsidRPr="00000000">
      <w:rPr>
        <w:rtl w:val="0"/>
      </w:rPr>
      <w:t xml:space="preserve">SCC President Amy Strimling</w:t>
    </w:r>
  </w:p>
  <w:p w:rsidR="00000000" w:rsidDel="00000000" w:rsidP="00000000" w:rsidRDefault="00000000" w:rsidRPr="00000000" w14:paraId="0000005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ccaccessibility.org/acmm/acmm-overview" TargetMode="External"/><Relationship Id="rId7" Type="http://schemas.openxmlformats.org/officeDocument/2006/relationships/hyperlink" Target="https://cccaccessibility.org/acmm/acmm-overview"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