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r>
    </w:p>
    <w:p w:rsidR="00000000" w:rsidDel="00000000" w:rsidP="00000000" w:rsidRDefault="00000000" w:rsidRPr="00000000" w14:paraId="00000002">
      <w:pPr>
        <w:jc w:val="right"/>
        <w:rPr/>
      </w:pPr>
      <w:r w:rsidDel="00000000" w:rsidR="00000000" w:rsidRPr="00000000">
        <w:rPr>
          <w:rtl w:val="0"/>
        </w:rPr>
        <w:tab/>
      </w:r>
    </w:p>
    <w:p w:rsidR="00000000" w:rsidDel="00000000" w:rsidP="00000000" w:rsidRDefault="00000000" w:rsidRPr="00000000" w14:paraId="00000003">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Tuesday, Sept. 17, 2024 - 3:00-5:00 pm</w:t>
      </w:r>
    </w:p>
    <w:p w:rsidR="00000000" w:rsidDel="00000000" w:rsidP="00000000" w:rsidRDefault="00000000" w:rsidRPr="00000000" w14:paraId="00000005">
      <w:pPr>
        <w:jc w:val="center"/>
        <w:rPr>
          <w:rFonts w:ascii="Calibri" w:cs="Calibri" w:eastAsia="Calibri" w:hAnsi="Calibri"/>
          <w:b w:val="1"/>
          <w:color w:val="01050a"/>
          <w:sz w:val="20"/>
          <w:szCs w:val="20"/>
        </w:rPr>
      </w:pPr>
      <w:r w:rsidDel="00000000" w:rsidR="00000000" w:rsidRPr="00000000">
        <w:rPr>
          <w:rFonts w:ascii="Calibri" w:cs="Calibri" w:eastAsia="Calibri" w:hAnsi="Calibri"/>
          <w:b w:val="1"/>
          <w:color w:val="01050a"/>
          <w:sz w:val="20"/>
          <w:szCs w:val="20"/>
          <w:rtl w:val="0"/>
        </w:rPr>
        <w:t xml:space="preserve">Los Rios District Office Main Conference Room</w:t>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6"/>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6"/>
        </w:numPr>
        <w:ind w:left="720" w:hanging="360"/>
        <w:rPr>
          <w:sz w:val="20"/>
          <w:szCs w:val="20"/>
        </w:rPr>
      </w:pPr>
      <w:r w:rsidDel="00000000" w:rsidR="00000000" w:rsidRPr="00000000">
        <w:rPr>
          <w:sz w:val="20"/>
          <w:szCs w:val="20"/>
          <w:rtl w:val="0"/>
        </w:rPr>
        <w:t xml:space="preserve">Land Acknowledgement (ARC)</w:t>
      </w:r>
    </w:p>
    <w:p w:rsidR="00000000" w:rsidDel="00000000" w:rsidP="00000000" w:rsidRDefault="00000000" w:rsidRPr="00000000" w14:paraId="0000000B">
      <w:pPr>
        <w:numPr>
          <w:ilvl w:val="0"/>
          <w:numId w:val="6"/>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6"/>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D">
      <w:pPr>
        <w:numPr>
          <w:ilvl w:val="1"/>
          <w:numId w:val="6"/>
        </w:numPr>
        <w:ind w:left="1440" w:hanging="360"/>
        <w:rPr>
          <w:sz w:val="20"/>
          <w:szCs w:val="20"/>
        </w:rPr>
      </w:pPr>
      <w:r w:rsidDel="00000000" w:rsidR="00000000" w:rsidRPr="00000000">
        <w:rPr>
          <w:sz w:val="20"/>
          <w:szCs w:val="20"/>
          <w:rtl w:val="0"/>
        </w:rPr>
        <w:t xml:space="preserve">May 7, 2024</w:t>
      </w:r>
    </w:p>
    <w:p w:rsidR="00000000" w:rsidDel="00000000" w:rsidP="00000000" w:rsidRDefault="00000000" w:rsidRPr="00000000" w14:paraId="0000000E">
      <w:pPr>
        <w:numPr>
          <w:ilvl w:val="1"/>
          <w:numId w:val="6"/>
        </w:numPr>
        <w:ind w:left="1440" w:hanging="360"/>
        <w:rPr>
          <w:sz w:val="20"/>
          <w:szCs w:val="20"/>
        </w:rPr>
      </w:pPr>
      <w:r w:rsidDel="00000000" w:rsidR="00000000" w:rsidRPr="00000000">
        <w:rPr>
          <w:sz w:val="20"/>
          <w:szCs w:val="20"/>
          <w:rtl w:val="0"/>
        </w:rPr>
        <w:t xml:space="preserve">Sept. 3, 2024</w:t>
      </w:r>
    </w:p>
    <w:p w:rsidR="00000000" w:rsidDel="00000000" w:rsidP="00000000" w:rsidRDefault="00000000" w:rsidRPr="00000000" w14:paraId="0000000F">
      <w:pPr>
        <w:numPr>
          <w:ilvl w:val="0"/>
          <w:numId w:val="6"/>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10">
      <w:pPr>
        <w:numPr>
          <w:ilvl w:val="0"/>
          <w:numId w:val="6"/>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1">
      <w:pPr>
        <w:numPr>
          <w:ilvl w:val="0"/>
          <w:numId w:val="6"/>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2">
      <w:pPr>
        <w:numPr>
          <w:ilvl w:val="1"/>
          <w:numId w:val="6"/>
        </w:numPr>
        <w:ind w:left="1440" w:hanging="360"/>
        <w:rPr>
          <w:sz w:val="20"/>
          <w:szCs w:val="20"/>
          <w:u w:val="none"/>
        </w:rPr>
      </w:pPr>
      <w:r w:rsidDel="00000000" w:rsidR="00000000" w:rsidRPr="00000000">
        <w:rPr>
          <w:sz w:val="20"/>
          <w:szCs w:val="20"/>
          <w:rtl w:val="0"/>
        </w:rPr>
        <w:t xml:space="preserve">DESSC Chair</w:t>
      </w:r>
    </w:p>
    <w:p w:rsidR="00000000" w:rsidDel="00000000" w:rsidP="00000000" w:rsidRDefault="00000000" w:rsidRPr="00000000" w14:paraId="00000013">
      <w:pPr>
        <w:numPr>
          <w:ilvl w:val="1"/>
          <w:numId w:val="6"/>
        </w:numPr>
        <w:ind w:left="1440" w:hanging="360"/>
        <w:rPr>
          <w:sz w:val="20"/>
          <w:szCs w:val="20"/>
          <w:u w:val="none"/>
        </w:rPr>
      </w:pPr>
      <w:r w:rsidDel="00000000" w:rsidR="00000000" w:rsidRPr="00000000">
        <w:rPr>
          <w:sz w:val="20"/>
          <w:szCs w:val="20"/>
          <w:rtl w:val="0"/>
        </w:rPr>
        <w:t xml:space="preserve">Fall 24 Plenary to be held November 7-9 in Visalia</w:t>
      </w:r>
    </w:p>
    <w:p w:rsidR="00000000" w:rsidDel="00000000" w:rsidP="00000000" w:rsidRDefault="00000000" w:rsidRPr="00000000" w14:paraId="00000014">
      <w:pPr>
        <w:numPr>
          <w:ilvl w:val="1"/>
          <w:numId w:val="6"/>
        </w:numPr>
        <w:ind w:left="1440" w:hanging="360"/>
        <w:rPr>
          <w:sz w:val="20"/>
          <w:szCs w:val="20"/>
          <w:u w:val="none"/>
        </w:rPr>
      </w:pPr>
      <w:r w:rsidDel="00000000" w:rsidR="00000000" w:rsidRPr="00000000">
        <w:rPr>
          <w:sz w:val="20"/>
          <w:szCs w:val="20"/>
          <w:rtl w:val="0"/>
        </w:rPr>
        <w:t xml:space="preserve">Common Course Numbering taxonomy has been announced</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Consent Items (Any member of the DAS may request an item be removed for further discussion and separate action.)</w:t>
      </w:r>
    </w:p>
    <w:p w:rsidR="00000000" w:rsidDel="00000000" w:rsidP="00000000" w:rsidRDefault="00000000" w:rsidRPr="00000000" w14:paraId="00000017">
      <w:pPr>
        <w:numPr>
          <w:ilvl w:val="0"/>
          <w:numId w:val="9"/>
        </w:numPr>
        <w:ind w:left="720" w:hanging="360"/>
        <w:rPr>
          <w:sz w:val="20"/>
          <w:szCs w:val="20"/>
          <w:u w:val="none"/>
        </w:rPr>
      </w:pPr>
      <w:r w:rsidDel="00000000" w:rsidR="00000000" w:rsidRPr="00000000">
        <w:rPr>
          <w:sz w:val="20"/>
          <w:szCs w:val="20"/>
          <w:rtl w:val="0"/>
        </w:rPr>
        <w:t xml:space="preserve">Approval of remote attendees.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A">
      <w:pPr>
        <w:numPr>
          <w:ilvl w:val="0"/>
          <w:numId w:val="1"/>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B">
      <w:pPr>
        <w:numPr>
          <w:ilvl w:val="0"/>
          <w:numId w:val="1"/>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C">
      <w:pPr>
        <w:numPr>
          <w:ilvl w:val="0"/>
          <w:numId w:val="1"/>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1F">
      <w:pPr>
        <w:numPr>
          <w:ilvl w:val="0"/>
          <w:numId w:val="1"/>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0">
      <w:pPr>
        <w:numPr>
          <w:ilvl w:val="0"/>
          <w:numId w:val="1"/>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3">
      <w:pPr>
        <w:shd w:fill="ffffff" w:val="clear"/>
        <w:ind w:left="720" w:firstLine="0"/>
        <w:rPr>
          <w:sz w:val="20"/>
          <w:szCs w:val="20"/>
        </w:rPr>
      </w:pPr>
      <w:r w:rsidDel="00000000" w:rsidR="00000000" w:rsidRPr="00000000">
        <w:rPr>
          <w:rtl w:val="0"/>
        </w:rPr>
      </w:r>
    </w:p>
    <w:p w:rsidR="00000000" w:rsidDel="00000000" w:rsidP="00000000" w:rsidRDefault="00000000" w:rsidRPr="00000000" w14:paraId="00000024">
      <w:pPr>
        <w:numPr>
          <w:ilvl w:val="0"/>
          <w:numId w:val="7"/>
        </w:numPr>
        <w:ind w:left="720" w:hanging="360"/>
        <w:rPr>
          <w:sz w:val="20"/>
          <w:szCs w:val="20"/>
        </w:rPr>
      </w:pPr>
      <w:r w:rsidDel="00000000" w:rsidR="00000000" w:rsidRPr="00000000">
        <w:rPr>
          <w:sz w:val="20"/>
          <w:szCs w:val="20"/>
          <w:rtl w:val="0"/>
        </w:rPr>
        <w:t xml:space="preserve">AB 1705 Math Validation Study Excused Withdrawal (EW) request (second reading; postponed from Sept. 3): </w:t>
      </w:r>
      <w:r w:rsidDel="00000000" w:rsidR="00000000" w:rsidRPr="00000000">
        <w:rPr>
          <w:sz w:val="20"/>
          <w:szCs w:val="20"/>
          <w:highlight w:val="white"/>
          <w:rtl w:val="0"/>
        </w:rPr>
        <w:t xml:space="preserve">The District Academic Senate regards a student’s participation in the AB 1705 Calculus Validation Study as constituting an extenuating circumstance for the purposes of an excused withdrawal </w:t>
      </w:r>
      <w:r w:rsidDel="00000000" w:rsidR="00000000" w:rsidRPr="00000000">
        <w:rPr>
          <w:color w:val="01050a"/>
          <w:sz w:val="20"/>
          <w:szCs w:val="20"/>
          <w:highlight w:val="white"/>
          <w:rtl w:val="0"/>
        </w:rPr>
        <w:t xml:space="preserve">(second reading).</w:t>
      </w:r>
    </w:p>
    <w:p w:rsidR="00000000" w:rsidDel="00000000" w:rsidP="00000000" w:rsidRDefault="00000000" w:rsidRPr="00000000" w14:paraId="00000025">
      <w:pPr>
        <w:numPr>
          <w:ilvl w:val="0"/>
          <w:numId w:val="7"/>
        </w:numPr>
        <w:ind w:left="720" w:hanging="360"/>
        <w:rPr>
          <w:sz w:val="20"/>
          <w:szCs w:val="20"/>
        </w:rPr>
      </w:pPr>
      <w:r w:rsidDel="00000000" w:rsidR="00000000" w:rsidRPr="00000000">
        <w:rPr>
          <w:sz w:val="20"/>
          <w:szCs w:val="20"/>
          <w:rtl w:val="0"/>
        </w:rPr>
        <w:t xml:space="preserve">Clarification of Understanding Re: Moratorium on the Use of Human Remains, Native American Cultural Items,</w:t>
      </w:r>
    </w:p>
    <w:p w:rsidR="00000000" w:rsidDel="00000000" w:rsidP="00000000" w:rsidRDefault="00000000" w:rsidRPr="00000000" w14:paraId="00000026">
      <w:pPr>
        <w:ind w:left="720" w:firstLine="0"/>
        <w:rPr>
          <w:sz w:val="20"/>
          <w:szCs w:val="20"/>
        </w:rPr>
      </w:pPr>
      <w:r w:rsidDel="00000000" w:rsidR="00000000" w:rsidRPr="00000000">
        <w:rPr>
          <w:sz w:val="20"/>
          <w:szCs w:val="20"/>
          <w:rtl w:val="0"/>
        </w:rPr>
        <w:t xml:space="preserve">Images, and Reproductions of Native American Human Remains and Cultural Items, No. 3: The use or creation of images and reproductions of Native American human remains and cultural items (as those terms are defined in 25 U.S.C. 3001 et. seq.) under the control of the Los Rios Community College District.</w:t>
      </w:r>
    </w:p>
    <w:p w:rsidR="00000000" w:rsidDel="00000000" w:rsidP="00000000" w:rsidRDefault="00000000" w:rsidRPr="00000000" w14:paraId="00000027">
      <w:pPr>
        <w:ind w:left="720" w:firstLine="0"/>
        <w:rPr>
          <w:sz w:val="20"/>
          <w:szCs w:val="20"/>
        </w:rPr>
      </w:pPr>
      <w:r w:rsidDel="00000000" w:rsidR="00000000" w:rsidRPr="00000000">
        <w:rPr>
          <w:sz w:val="20"/>
          <w:szCs w:val="20"/>
          <w:rtl w:val="0"/>
        </w:rPr>
        <w:t xml:space="preserve">The District Academic Senate clarifies our understanding of  No. 3 to mean:</w:t>
      </w:r>
    </w:p>
    <w:p w:rsidR="00000000" w:rsidDel="00000000" w:rsidP="00000000" w:rsidRDefault="00000000" w:rsidRPr="00000000" w14:paraId="00000028">
      <w:pPr>
        <w:numPr>
          <w:ilvl w:val="0"/>
          <w:numId w:val="3"/>
        </w:numPr>
        <w:ind w:left="1440" w:hanging="360"/>
        <w:rPr>
          <w:sz w:val="20"/>
          <w:szCs w:val="20"/>
        </w:rPr>
      </w:pPr>
      <w:r w:rsidDel="00000000" w:rsidR="00000000" w:rsidRPr="00000000">
        <w:rPr>
          <w:sz w:val="20"/>
          <w:szCs w:val="20"/>
          <w:rtl w:val="0"/>
        </w:rPr>
        <w:t xml:space="preserve">Images and reproductions of Native American human remains and cultural items under the control of Los Rios may not be used or created.  </w:t>
      </w:r>
      <w:r w:rsidDel="00000000" w:rsidR="00000000" w:rsidRPr="00000000">
        <w:rPr>
          <w:b w:val="1"/>
          <w:sz w:val="20"/>
          <w:szCs w:val="20"/>
          <w:rtl w:val="0"/>
        </w:rPr>
        <w:t xml:space="preserve">OR</w:t>
      </w:r>
    </w:p>
    <w:p w:rsidR="00000000" w:rsidDel="00000000" w:rsidP="00000000" w:rsidRDefault="00000000" w:rsidRPr="00000000" w14:paraId="00000029">
      <w:pPr>
        <w:numPr>
          <w:ilvl w:val="0"/>
          <w:numId w:val="3"/>
        </w:numPr>
        <w:ind w:left="1440" w:hanging="360"/>
        <w:rPr>
          <w:sz w:val="20"/>
          <w:szCs w:val="20"/>
        </w:rPr>
      </w:pPr>
      <w:r w:rsidDel="00000000" w:rsidR="00000000" w:rsidRPr="00000000">
        <w:rPr>
          <w:sz w:val="20"/>
          <w:szCs w:val="20"/>
          <w:rtl w:val="0"/>
        </w:rPr>
        <w:t xml:space="preserve">Los Rios may not use or create any images or reproductions of Native American human remains or cultural items.  (second reading)</w:t>
      </w:r>
      <w:r w:rsidDel="00000000" w:rsidR="00000000" w:rsidRPr="00000000">
        <w:rPr>
          <w:rtl w:val="0"/>
        </w:rPr>
      </w:r>
    </w:p>
    <w:p w:rsidR="00000000" w:rsidDel="00000000" w:rsidP="00000000" w:rsidRDefault="00000000" w:rsidRPr="00000000" w14:paraId="0000002A">
      <w:pPr>
        <w:numPr>
          <w:ilvl w:val="0"/>
          <w:numId w:val="7"/>
        </w:numPr>
        <w:shd w:fill="ffffff" w:val="clear"/>
        <w:ind w:left="720" w:hanging="360"/>
        <w:rPr>
          <w:sz w:val="20"/>
          <w:szCs w:val="20"/>
        </w:rPr>
      </w:pPr>
      <w:r w:rsidDel="00000000" w:rsidR="00000000" w:rsidRPr="00000000">
        <w:rPr>
          <w:sz w:val="20"/>
          <w:szCs w:val="20"/>
          <w:rtl w:val="0"/>
        </w:rPr>
        <w:t xml:space="preserve">Proposed addition to Board Policy P-7412 </w:t>
      </w:r>
      <w:r w:rsidDel="00000000" w:rsidR="00000000" w:rsidRPr="00000000">
        <w:rPr>
          <w:b w:val="1"/>
          <w:sz w:val="20"/>
          <w:szCs w:val="20"/>
          <w:rtl w:val="0"/>
        </w:rPr>
        <w:t xml:space="preserve">2.3.3.7.2</w:t>
      </w:r>
      <w:r w:rsidDel="00000000" w:rsidR="00000000" w:rsidRPr="00000000">
        <w:rPr>
          <w:sz w:val="20"/>
          <w:szCs w:val="20"/>
          <w:rtl w:val="0"/>
        </w:rPr>
        <w:t xml:space="preserve"> Students in majors with 45 units or more of required coursework may petition to be exempted from the Living Skills requirement (first reading)</w:t>
      </w:r>
      <w:r w:rsidDel="00000000" w:rsidR="00000000" w:rsidRPr="00000000">
        <w:rPr>
          <w:rtl w:val="0"/>
        </w:rPr>
      </w:r>
    </w:p>
    <w:p w:rsidR="00000000" w:rsidDel="00000000" w:rsidP="00000000" w:rsidRDefault="00000000" w:rsidRPr="00000000" w14:paraId="0000002B">
      <w:pPr>
        <w:numPr>
          <w:ilvl w:val="0"/>
          <w:numId w:val="7"/>
        </w:numPr>
        <w:ind w:left="720" w:hanging="360"/>
        <w:rPr>
          <w:sz w:val="20"/>
          <w:szCs w:val="20"/>
        </w:rPr>
      </w:pPr>
      <w:r w:rsidDel="00000000" w:rsidR="00000000" w:rsidRPr="00000000">
        <w:rPr>
          <w:sz w:val="20"/>
          <w:szCs w:val="20"/>
          <w:rtl w:val="0"/>
        </w:rPr>
        <w:t xml:space="preserve">Decision re: DAS participation in the Los Rios Institutional Effectiveness Partnership Initiative (IEPI) Process relating to IBA.  (first reading).</w:t>
      </w:r>
    </w:p>
    <w:p w:rsidR="00000000" w:rsidDel="00000000" w:rsidP="00000000" w:rsidRDefault="00000000" w:rsidRPr="00000000" w14:paraId="0000002C">
      <w:pPr>
        <w:ind w:left="1440" w:firstLine="0"/>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E">
      <w:pPr>
        <w:numPr>
          <w:ilvl w:val="0"/>
          <w:numId w:val="2"/>
        </w:numPr>
        <w:ind w:left="720" w:hanging="360"/>
        <w:rPr>
          <w:sz w:val="20"/>
          <w:szCs w:val="20"/>
        </w:rPr>
      </w:pPr>
      <w:r w:rsidDel="00000000" w:rsidR="00000000" w:rsidRPr="00000000">
        <w:rPr>
          <w:sz w:val="20"/>
          <w:szCs w:val="20"/>
          <w:rtl w:val="0"/>
        </w:rPr>
        <w:t xml:space="preserve">Noncredit Feasibility Task Force</w:t>
      </w:r>
    </w:p>
    <w:p w:rsidR="00000000" w:rsidDel="00000000" w:rsidP="00000000" w:rsidRDefault="00000000" w:rsidRPr="00000000" w14:paraId="0000002F">
      <w:pPr>
        <w:numPr>
          <w:ilvl w:val="0"/>
          <w:numId w:val="2"/>
        </w:numPr>
        <w:ind w:left="720" w:hanging="360"/>
        <w:rPr>
          <w:sz w:val="20"/>
          <w:szCs w:val="20"/>
          <w:u w:val="none"/>
        </w:rPr>
      </w:pPr>
      <w:r w:rsidDel="00000000" w:rsidR="00000000" w:rsidRPr="00000000">
        <w:rPr>
          <w:sz w:val="20"/>
          <w:szCs w:val="20"/>
          <w:rtl w:val="0"/>
        </w:rPr>
        <w:t xml:space="preserve">Should all DAS Subcommittees adopt and publish charters that include (but are not limited to) such areas as Purpose, Area of Responsibility, Committee Composition, Meetings, Voting, etc?</w:t>
      </w:r>
    </w:p>
    <w:p w:rsidR="00000000" w:rsidDel="00000000" w:rsidP="00000000" w:rsidRDefault="00000000" w:rsidRPr="00000000" w14:paraId="00000030">
      <w:pPr>
        <w:numPr>
          <w:ilvl w:val="0"/>
          <w:numId w:val="2"/>
        </w:numPr>
        <w:ind w:left="720" w:hanging="360"/>
        <w:rPr>
          <w:sz w:val="20"/>
          <w:szCs w:val="20"/>
          <w:u w:val="none"/>
        </w:rPr>
      </w:pPr>
      <w:r w:rsidDel="00000000" w:rsidR="00000000" w:rsidRPr="00000000">
        <w:rPr>
          <w:sz w:val="20"/>
          <w:szCs w:val="20"/>
          <w:rtl w:val="0"/>
        </w:rPr>
        <w:t xml:space="preserve">AI Summit</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5">
      <w:pPr>
        <w:numPr>
          <w:ilvl w:val="0"/>
          <w:numId w:val="5"/>
        </w:numPr>
        <w:ind w:left="720" w:hanging="360"/>
        <w:rPr>
          <w:sz w:val="20"/>
          <w:szCs w:val="20"/>
        </w:rPr>
      </w:pPr>
      <w:r w:rsidDel="00000000" w:rsidR="00000000" w:rsidRPr="00000000">
        <w:rPr>
          <w:sz w:val="20"/>
          <w:szCs w:val="20"/>
          <w:rtl w:val="0"/>
        </w:rPr>
        <w:t xml:space="preserve">Budget – Troy Myers</w:t>
      </w:r>
    </w:p>
    <w:p w:rsidR="00000000" w:rsidDel="00000000" w:rsidP="00000000" w:rsidRDefault="00000000" w:rsidRPr="00000000" w14:paraId="00000036">
      <w:pPr>
        <w:numPr>
          <w:ilvl w:val="0"/>
          <w:numId w:val="5"/>
        </w:numPr>
        <w:ind w:left="720" w:hanging="360"/>
        <w:rPr>
          <w:sz w:val="20"/>
          <w:szCs w:val="20"/>
        </w:rPr>
      </w:pPr>
      <w:r w:rsidDel="00000000" w:rsidR="00000000" w:rsidRPr="00000000">
        <w:rPr>
          <w:sz w:val="20"/>
          <w:szCs w:val="20"/>
          <w:rtl w:val="0"/>
        </w:rPr>
        <w:t xml:space="preserve">Calendar -</w:t>
      </w:r>
    </w:p>
    <w:p w:rsidR="00000000" w:rsidDel="00000000" w:rsidP="00000000" w:rsidRDefault="00000000" w:rsidRPr="00000000" w14:paraId="00000037">
      <w:pPr>
        <w:numPr>
          <w:ilvl w:val="0"/>
          <w:numId w:val="5"/>
        </w:numPr>
        <w:ind w:left="720" w:hanging="360"/>
        <w:rPr>
          <w:sz w:val="20"/>
          <w:szCs w:val="20"/>
        </w:rPr>
      </w:pPr>
      <w:r w:rsidDel="00000000" w:rsidR="00000000" w:rsidRPr="00000000">
        <w:rPr>
          <w:sz w:val="20"/>
          <w:szCs w:val="20"/>
          <w:rtl w:val="0"/>
        </w:rPr>
        <w:t xml:space="preserve">Program Placement Council (PPC) – Alisa/Paula</w:t>
      </w:r>
    </w:p>
    <w:p w:rsidR="00000000" w:rsidDel="00000000" w:rsidP="00000000" w:rsidRDefault="00000000" w:rsidRPr="00000000" w14:paraId="00000038">
      <w:pPr>
        <w:numPr>
          <w:ilvl w:val="0"/>
          <w:numId w:val="5"/>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9">
      <w:pPr>
        <w:ind w:left="720" w:firstLine="0"/>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B">
      <w:pPr>
        <w:numPr>
          <w:ilvl w:val="0"/>
          <w:numId w:val="4"/>
        </w:numPr>
        <w:ind w:left="720" w:hanging="360"/>
        <w:rPr>
          <w:sz w:val="20"/>
          <w:szCs w:val="20"/>
        </w:rPr>
      </w:pPr>
      <w:r w:rsidDel="00000000" w:rsidR="00000000" w:rsidRPr="00000000">
        <w:rPr>
          <w:sz w:val="20"/>
          <w:szCs w:val="20"/>
          <w:rtl w:val="0"/>
        </w:rPr>
        <w:t xml:space="preserve">Faculty hiring</w:t>
      </w:r>
    </w:p>
    <w:p w:rsidR="00000000" w:rsidDel="00000000" w:rsidP="00000000" w:rsidRDefault="00000000" w:rsidRPr="00000000" w14:paraId="0000003C">
      <w:pPr>
        <w:numPr>
          <w:ilvl w:val="0"/>
          <w:numId w:val="4"/>
        </w:numPr>
        <w:ind w:left="720" w:hanging="360"/>
        <w:rPr>
          <w:sz w:val="20"/>
          <w:szCs w:val="20"/>
        </w:rPr>
      </w:pPr>
      <w:r w:rsidDel="00000000" w:rsidR="00000000" w:rsidRPr="00000000">
        <w:rPr>
          <w:sz w:val="20"/>
          <w:szCs w:val="20"/>
          <w:rtl w:val="0"/>
        </w:rPr>
        <w:t xml:space="preserve">Manual revision process</w:t>
      </w:r>
    </w:p>
    <w:p w:rsidR="00000000" w:rsidDel="00000000" w:rsidP="00000000" w:rsidRDefault="00000000" w:rsidRPr="00000000" w14:paraId="0000003D">
      <w:pPr>
        <w:numPr>
          <w:ilvl w:val="0"/>
          <w:numId w:val="4"/>
        </w:numPr>
        <w:ind w:left="720" w:hanging="360"/>
        <w:rPr>
          <w:sz w:val="20"/>
          <w:szCs w:val="20"/>
        </w:rPr>
      </w:pPr>
      <w:r w:rsidDel="00000000" w:rsidR="00000000" w:rsidRPr="00000000">
        <w:rPr>
          <w:sz w:val="20"/>
          <w:szCs w:val="20"/>
          <w:rtl w:val="0"/>
        </w:rPr>
        <w:t xml:space="preserve">Long Term Temporary positions (LTTs)</w:t>
      </w:r>
    </w:p>
    <w:p w:rsidR="00000000" w:rsidDel="00000000" w:rsidP="00000000" w:rsidRDefault="00000000" w:rsidRPr="00000000" w14:paraId="0000003E">
      <w:pPr>
        <w:numPr>
          <w:ilvl w:val="0"/>
          <w:numId w:val="4"/>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3F">
      <w:pPr>
        <w:numPr>
          <w:ilvl w:val="0"/>
          <w:numId w:val="4"/>
        </w:numPr>
        <w:ind w:left="720" w:hanging="360"/>
        <w:rPr>
          <w:sz w:val="20"/>
          <w:szCs w:val="20"/>
        </w:rPr>
      </w:pPr>
      <w:r w:rsidDel="00000000" w:rsidR="00000000" w:rsidRPr="00000000">
        <w:rPr>
          <w:sz w:val="20"/>
          <w:szCs w:val="20"/>
          <w:rtl w:val="0"/>
        </w:rPr>
        <w:t xml:space="preserve">Equivalency processes</w:t>
      </w:r>
    </w:p>
    <w:p w:rsidR="00000000" w:rsidDel="00000000" w:rsidP="00000000" w:rsidRDefault="00000000" w:rsidRPr="00000000" w14:paraId="00000040">
      <w:pPr>
        <w:numPr>
          <w:ilvl w:val="0"/>
          <w:numId w:val="4"/>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41">
      <w:pPr>
        <w:numPr>
          <w:ilvl w:val="0"/>
          <w:numId w:val="4"/>
        </w:numPr>
        <w:ind w:left="720" w:hanging="360"/>
        <w:rPr>
          <w:sz w:val="20"/>
          <w:szCs w:val="20"/>
        </w:rPr>
      </w:pPr>
      <w:r w:rsidDel="00000000" w:rsidR="00000000" w:rsidRPr="00000000">
        <w:rPr>
          <w:sz w:val="20"/>
          <w:szCs w:val="20"/>
          <w:rtl w:val="0"/>
        </w:rPr>
        <w:t xml:space="preserve">District Budget/LAO Report</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4">
      <w:pPr>
        <w:numPr>
          <w:ilvl w:val="0"/>
          <w:numId w:val="8"/>
        </w:numPr>
        <w:ind w:left="720" w:hanging="360"/>
        <w:rPr>
          <w:sz w:val="20"/>
          <w:szCs w:val="20"/>
          <w:u w:val="none"/>
        </w:rPr>
      </w:pPr>
      <w:r w:rsidDel="00000000" w:rsidR="00000000" w:rsidRPr="00000000">
        <w:rPr>
          <w:sz w:val="20"/>
          <w:szCs w:val="20"/>
          <w:rtl w:val="0"/>
        </w:rPr>
        <w:t xml:space="preserve">Sept. 23: Chancellor’s Cabinet</w:t>
      </w:r>
    </w:p>
    <w:p w:rsidR="00000000" w:rsidDel="00000000" w:rsidP="00000000" w:rsidRDefault="00000000" w:rsidRPr="00000000" w14:paraId="00000045">
      <w:pPr>
        <w:numPr>
          <w:ilvl w:val="0"/>
          <w:numId w:val="8"/>
        </w:numPr>
        <w:ind w:left="720" w:hanging="360"/>
        <w:rPr>
          <w:sz w:val="20"/>
          <w:szCs w:val="20"/>
          <w:u w:val="none"/>
        </w:rPr>
      </w:pPr>
      <w:r w:rsidDel="00000000" w:rsidR="00000000" w:rsidRPr="00000000">
        <w:rPr>
          <w:sz w:val="20"/>
          <w:szCs w:val="20"/>
          <w:rtl w:val="0"/>
        </w:rPr>
        <w:t xml:space="preserve">Sept. 26: EdTech Meeting 4:00 pm</w:t>
      </w:r>
    </w:p>
    <w:p w:rsidR="00000000" w:rsidDel="00000000" w:rsidP="00000000" w:rsidRDefault="00000000" w:rsidRPr="00000000" w14:paraId="00000046">
      <w:pPr>
        <w:numPr>
          <w:ilvl w:val="0"/>
          <w:numId w:val="8"/>
        </w:numPr>
        <w:ind w:left="720" w:hanging="360"/>
        <w:rPr>
          <w:sz w:val="20"/>
          <w:szCs w:val="20"/>
          <w:u w:val="none"/>
        </w:rPr>
      </w:pPr>
      <w:r w:rsidDel="00000000" w:rsidR="00000000" w:rsidRPr="00000000">
        <w:rPr>
          <w:sz w:val="20"/>
          <w:szCs w:val="20"/>
          <w:rtl w:val="0"/>
        </w:rPr>
        <w:t xml:space="preserve">Sept. 27: DCCC Meeting 2:30 pm</w:t>
      </w:r>
    </w:p>
    <w:p w:rsidR="00000000" w:rsidDel="00000000" w:rsidP="00000000" w:rsidRDefault="00000000" w:rsidRPr="00000000" w14:paraId="00000047">
      <w:pPr>
        <w:numPr>
          <w:ilvl w:val="0"/>
          <w:numId w:val="8"/>
        </w:numPr>
        <w:ind w:left="720" w:hanging="360"/>
        <w:rPr>
          <w:sz w:val="20"/>
          <w:szCs w:val="20"/>
          <w:u w:val="none"/>
        </w:rPr>
      </w:pPr>
      <w:r w:rsidDel="00000000" w:rsidR="00000000" w:rsidRPr="00000000">
        <w:rPr>
          <w:sz w:val="20"/>
          <w:szCs w:val="20"/>
          <w:rtl w:val="0"/>
        </w:rPr>
        <w:t xml:space="preserve">Oct. 1: DAS Meeting 3-5 pm</w:t>
      </w:r>
    </w:p>
    <w:p w:rsidR="00000000" w:rsidDel="00000000" w:rsidP="00000000" w:rsidRDefault="00000000" w:rsidRPr="00000000" w14:paraId="00000048">
      <w:pPr>
        <w:ind w:left="720" w:firstLine="0"/>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4D">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0">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3">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6">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9">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5C">
    <w:pPr>
      <w:jc w:val="right"/>
      <w:rPr/>
    </w:pPr>
    <w:r w:rsidDel="00000000" w:rsidR="00000000" w:rsidRPr="00000000">
      <w:rPr>
        <w:rtl w:val="0"/>
      </w:rPr>
      <w:t xml:space="preserve">ARC President Brian Knirk</w:t>
    </w:r>
  </w:p>
  <w:p w:rsidR="00000000" w:rsidDel="00000000" w:rsidP="00000000" w:rsidRDefault="00000000" w:rsidRPr="00000000" w14:paraId="0000005D">
    <w:pPr>
      <w:jc w:val="right"/>
      <w:rPr/>
    </w:pPr>
    <w:r w:rsidDel="00000000" w:rsidR="00000000" w:rsidRPr="00000000">
      <w:rPr>
        <w:rtl w:val="0"/>
      </w:rPr>
      <w:t xml:space="preserve">CRC President Jacob Velasquez</w:t>
      <w:tab/>
    </w:r>
  </w:p>
  <w:p w:rsidR="00000000" w:rsidDel="00000000" w:rsidP="00000000" w:rsidRDefault="00000000" w:rsidRPr="00000000" w14:paraId="0000005E">
    <w:pPr>
      <w:jc w:val="right"/>
      <w:rPr/>
    </w:pPr>
    <w:r w:rsidDel="00000000" w:rsidR="00000000" w:rsidRPr="00000000">
      <w:rPr>
        <w:rtl w:val="0"/>
      </w:rPr>
      <w:t xml:space="preserve">FLC President Eric Wada</w:t>
    </w:r>
  </w:p>
  <w:p w:rsidR="00000000" w:rsidDel="00000000" w:rsidP="00000000" w:rsidRDefault="00000000" w:rsidRPr="00000000" w14:paraId="0000005F">
    <w:pPr>
      <w:jc w:val="right"/>
      <w:rPr/>
    </w:pPr>
    <w:r w:rsidDel="00000000" w:rsidR="00000000" w:rsidRPr="00000000">
      <w:rPr>
        <w:rtl w:val="0"/>
      </w:rPr>
      <w:t xml:space="preserve">SCC President Amy Strimling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