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C9F3" w14:textId="77777777" w:rsidR="0052442F" w:rsidRDefault="0052442F">
      <w:pPr>
        <w:pStyle w:val="Heading"/>
        <w:spacing w:before="0" w:after="0"/>
      </w:pPr>
    </w:p>
    <w:p w14:paraId="50928755" w14:textId="5FCFB46A" w:rsidR="005B5ABF" w:rsidRDefault="00DB686F">
      <w:pPr>
        <w:pStyle w:val="Heading"/>
        <w:spacing w:before="0" w:after="0"/>
      </w:pPr>
      <w:r>
        <w:t xml:space="preserve">District Academic Senate (DAS) Meeting </w:t>
      </w:r>
      <w:r w:rsidR="0040218A">
        <w:t>Approved</w:t>
      </w:r>
      <w:r w:rsidR="0052442F">
        <w:t xml:space="preserve"> Minutes</w:t>
      </w:r>
    </w:p>
    <w:p w14:paraId="205EB8F3" w14:textId="77777777" w:rsidR="005B5ABF" w:rsidRDefault="00DB686F">
      <w:pPr>
        <w:pStyle w:val="Body"/>
        <w:spacing w:before="0" w:after="0"/>
        <w:jc w:val="center"/>
        <w:rPr>
          <w:b/>
          <w:bCs/>
        </w:rPr>
      </w:pPr>
      <w:r>
        <w:rPr>
          <w:b/>
          <w:bCs/>
        </w:rPr>
        <w:t>Tuesday, May 16</w:t>
      </w:r>
      <w:proofErr w:type="gramStart"/>
      <w:r>
        <w:rPr>
          <w:b/>
          <w:bCs/>
          <w:vertAlign w:val="superscript"/>
        </w:rPr>
        <w:t>th</w:t>
      </w:r>
      <w:r>
        <w:rPr>
          <w:b/>
          <w:bCs/>
        </w:rPr>
        <w:t xml:space="preserve"> ,</w:t>
      </w:r>
      <w:proofErr w:type="gramEnd"/>
      <w:r>
        <w:rPr>
          <w:b/>
          <w:bCs/>
        </w:rPr>
        <w:t xml:space="preserve"> 2023 - 3:00 -5:00 pm</w:t>
      </w:r>
    </w:p>
    <w:p w14:paraId="6CEA106D" w14:textId="77777777" w:rsidR="005B5ABF" w:rsidRDefault="00DB686F">
      <w:pPr>
        <w:pStyle w:val="Body"/>
        <w:spacing w:before="0" w:after="0"/>
        <w:jc w:val="center"/>
        <w:rPr>
          <w:b/>
          <w:bCs/>
          <w:color w:val="000000"/>
          <w:sz w:val="20"/>
          <w:szCs w:val="20"/>
          <w:u w:color="000000"/>
        </w:rPr>
      </w:pPr>
      <w:r>
        <w:rPr>
          <w:b/>
          <w:bCs/>
          <w:color w:val="000000"/>
          <w:sz w:val="20"/>
          <w:szCs w:val="20"/>
          <w:u w:color="000000"/>
        </w:rPr>
        <w:t>Los Rios District Office Main Conference Room</w:t>
      </w:r>
    </w:p>
    <w:p w14:paraId="6A8510BE" w14:textId="77777777" w:rsidR="005B5ABF" w:rsidRDefault="00374F1D">
      <w:pPr>
        <w:pStyle w:val="Body"/>
        <w:jc w:val="center"/>
        <w:rPr>
          <w:sz w:val="20"/>
          <w:szCs w:val="20"/>
        </w:rPr>
      </w:pPr>
      <w:hyperlink r:id="rId7" w:history="1">
        <w:r w:rsidR="00DB686F">
          <w:rPr>
            <w:rStyle w:val="Hyperlink0"/>
            <w:lang w:val="de-DE"/>
          </w:rPr>
          <w:t>https://lrccd.zoom.us/j/84695861936?pwd=alhnSjMwTTAyRndOL1J0aTZNNHNSdz09</w:t>
        </w:r>
      </w:hyperlink>
    </w:p>
    <w:p w14:paraId="0DE03FA3" w14:textId="1336BED5" w:rsidR="005B5ABF" w:rsidRDefault="00DB686F">
      <w:pPr>
        <w:pStyle w:val="Body"/>
        <w:jc w:val="center"/>
        <w:rPr>
          <w:sz w:val="20"/>
          <w:szCs w:val="20"/>
        </w:rPr>
      </w:pPr>
      <w:r>
        <w:rPr>
          <w:sz w:val="20"/>
          <w:szCs w:val="20"/>
        </w:rPr>
        <w:t xml:space="preserve">Meeting ID: 846 9586 </w:t>
      </w:r>
      <w:proofErr w:type="gramStart"/>
      <w:r>
        <w:rPr>
          <w:sz w:val="20"/>
          <w:szCs w:val="20"/>
        </w:rPr>
        <w:t>1936  Passcode</w:t>
      </w:r>
      <w:proofErr w:type="gramEnd"/>
      <w:r>
        <w:rPr>
          <w:sz w:val="20"/>
          <w:szCs w:val="20"/>
        </w:rPr>
        <w:t xml:space="preserve">: </w:t>
      </w:r>
      <w:proofErr w:type="spellStart"/>
      <w:r>
        <w:rPr>
          <w:sz w:val="20"/>
          <w:szCs w:val="20"/>
        </w:rPr>
        <w:t>LosRios</w:t>
      </w:r>
      <w:proofErr w:type="spellEnd"/>
    </w:p>
    <w:tbl>
      <w:tblPr>
        <w:tblW w:w="8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705"/>
        <w:gridCol w:w="901"/>
        <w:gridCol w:w="4507"/>
        <w:gridCol w:w="1077"/>
      </w:tblGrid>
      <w:tr w:rsidR="00B813F6" w14:paraId="153F95C6"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5D2C2AD0"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901" w:type="dxa"/>
            <w:tcBorders>
              <w:top w:val="single" w:sz="4" w:space="0" w:color="000000"/>
              <w:left w:val="single" w:sz="4" w:space="0" w:color="000000"/>
              <w:bottom w:val="single" w:sz="4" w:space="0" w:color="000000"/>
              <w:right w:val="single" w:sz="4" w:space="0" w:color="000000"/>
            </w:tcBorders>
          </w:tcPr>
          <w:p w14:paraId="02736155"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507" w:type="dxa"/>
            <w:tcBorders>
              <w:top w:val="single" w:sz="4" w:space="0" w:color="000000"/>
              <w:left w:val="single" w:sz="4" w:space="0" w:color="000000"/>
              <w:bottom w:val="single" w:sz="4" w:space="0" w:color="000000"/>
              <w:right w:val="single" w:sz="4" w:space="0" w:color="000000"/>
            </w:tcBorders>
          </w:tcPr>
          <w:p w14:paraId="1F699F58"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1077" w:type="dxa"/>
            <w:tcBorders>
              <w:top w:val="single" w:sz="4" w:space="0" w:color="000000"/>
              <w:left w:val="single" w:sz="4" w:space="0" w:color="000000"/>
              <w:bottom w:val="single" w:sz="4" w:space="0" w:color="000000"/>
              <w:right w:val="single" w:sz="4" w:space="0" w:color="000000"/>
            </w:tcBorders>
          </w:tcPr>
          <w:p w14:paraId="3212C5EB"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B813F6" w14:paraId="48C96687"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436198C2"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901" w:type="dxa"/>
            <w:tcBorders>
              <w:top w:val="single" w:sz="4" w:space="0" w:color="000000"/>
              <w:left w:val="single" w:sz="4" w:space="0" w:color="000000"/>
              <w:bottom w:val="single" w:sz="4" w:space="0" w:color="000000"/>
              <w:right w:val="single" w:sz="4" w:space="0" w:color="000000"/>
            </w:tcBorders>
          </w:tcPr>
          <w:p w14:paraId="122E1D6D"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7" w:type="dxa"/>
            <w:tcBorders>
              <w:top w:val="single" w:sz="4" w:space="0" w:color="000000"/>
              <w:left w:val="single" w:sz="4" w:space="0" w:color="000000"/>
              <w:bottom w:val="single" w:sz="4" w:space="0" w:color="000000"/>
              <w:right w:val="single" w:sz="4" w:space="0" w:color="000000"/>
            </w:tcBorders>
          </w:tcPr>
          <w:p w14:paraId="0E2B9500"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1077" w:type="dxa"/>
            <w:tcBorders>
              <w:top w:val="single" w:sz="4" w:space="0" w:color="000000"/>
              <w:left w:val="single" w:sz="4" w:space="0" w:color="000000"/>
              <w:bottom w:val="single" w:sz="4" w:space="0" w:color="000000"/>
              <w:right w:val="single" w:sz="4" w:space="0" w:color="000000"/>
            </w:tcBorders>
          </w:tcPr>
          <w:p w14:paraId="38FFCF88"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560731BF"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716F25E0"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901" w:type="dxa"/>
            <w:tcBorders>
              <w:top w:val="single" w:sz="4" w:space="0" w:color="000000"/>
              <w:left w:val="single" w:sz="4" w:space="0" w:color="000000"/>
              <w:bottom w:val="single" w:sz="4" w:space="0" w:color="000000"/>
              <w:right w:val="single" w:sz="4" w:space="0" w:color="000000"/>
            </w:tcBorders>
          </w:tcPr>
          <w:p w14:paraId="500D049A"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7" w:type="dxa"/>
            <w:tcBorders>
              <w:top w:val="single" w:sz="4" w:space="0" w:color="000000"/>
              <w:left w:val="single" w:sz="4" w:space="0" w:color="000000"/>
              <w:bottom w:val="single" w:sz="4" w:space="0" w:color="000000"/>
              <w:right w:val="single" w:sz="4" w:space="0" w:color="000000"/>
            </w:tcBorders>
          </w:tcPr>
          <w:p w14:paraId="1E765619"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1077" w:type="dxa"/>
            <w:tcBorders>
              <w:top w:val="single" w:sz="4" w:space="0" w:color="000000"/>
              <w:left w:val="single" w:sz="4" w:space="0" w:color="000000"/>
              <w:bottom w:val="single" w:sz="4" w:space="0" w:color="000000"/>
              <w:right w:val="single" w:sz="4" w:space="0" w:color="000000"/>
            </w:tcBorders>
          </w:tcPr>
          <w:p w14:paraId="3CD1C1DE" w14:textId="77777777" w:rsidR="00B813F6" w:rsidRDefault="00B813F6" w:rsidP="00552F7A">
            <w:pPr>
              <w:spacing w:line="276" w:lineRule="auto"/>
              <w:jc w:val="center"/>
              <w:rPr>
                <w:color w:val="000000"/>
                <w:sz w:val="18"/>
                <w:szCs w:val="18"/>
              </w:rPr>
            </w:pPr>
            <w:r>
              <w:rPr>
                <w:color w:val="000000"/>
                <w:sz w:val="18"/>
                <w:szCs w:val="18"/>
              </w:rPr>
              <w:t>x</w:t>
            </w:r>
          </w:p>
        </w:tc>
      </w:tr>
      <w:tr w:rsidR="00B813F6" w14:paraId="280C43C8"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6D0C4CE4"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Carina Hoffpauir</w:t>
            </w:r>
          </w:p>
        </w:tc>
        <w:tc>
          <w:tcPr>
            <w:tcW w:w="901" w:type="dxa"/>
            <w:tcBorders>
              <w:top w:val="single" w:sz="4" w:space="0" w:color="000000"/>
              <w:left w:val="single" w:sz="4" w:space="0" w:color="000000"/>
              <w:bottom w:val="single" w:sz="4" w:space="0" w:color="000000"/>
              <w:right w:val="single" w:sz="4" w:space="0" w:color="000000"/>
            </w:tcBorders>
          </w:tcPr>
          <w:p w14:paraId="0BEEC53C"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7" w:type="dxa"/>
            <w:tcBorders>
              <w:top w:val="single" w:sz="4" w:space="0" w:color="000000"/>
              <w:left w:val="single" w:sz="4" w:space="0" w:color="000000"/>
              <w:bottom w:val="single" w:sz="4" w:space="0" w:color="000000"/>
              <w:right w:val="single" w:sz="4" w:space="0" w:color="000000"/>
            </w:tcBorders>
          </w:tcPr>
          <w:p w14:paraId="621152C1"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77" w:type="dxa"/>
            <w:tcBorders>
              <w:top w:val="single" w:sz="4" w:space="0" w:color="000000"/>
              <w:left w:val="single" w:sz="4" w:space="0" w:color="000000"/>
              <w:bottom w:val="single" w:sz="4" w:space="0" w:color="000000"/>
              <w:right w:val="single" w:sz="4" w:space="0" w:color="000000"/>
            </w:tcBorders>
          </w:tcPr>
          <w:p w14:paraId="4DA0ACA6"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018D3C20"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79912393"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Brian Knirk</w:t>
            </w:r>
          </w:p>
        </w:tc>
        <w:tc>
          <w:tcPr>
            <w:tcW w:w="901" w:type="dxa"/>
            <w:tcBorders>
              <w:top w:val="single" w:sz="4" w:space="0" w:color="000000"/>
              <w:left w:val="single" w:sz="4" w:space="0" w:color="000000"/>
              <w:bottom w:val="single" w:sz="4" w:space="0" w:color="000000"/>
              <w:right w:val="single" w:sz="4" w:space="0" w:color="000000"/>
            </w:tcBorders>
          </w:tcPr>
          <w:p w14:paraId="500EA906"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7" w:type="dxa"/>
            <w:tcBorders>
              <w:top w:val="single" w:sz="4" w:space="0" w:color="000000"/>
              <w:left w:val="single" w:sz="4" w:space="0" w:color="000000"/>
              <w:bottom w:val="single" w:sz="4" w:space="0" w:color="000000"/>
              <w:right w:val="single" w:sz="4" w:space="0" w:color="000000"/>
            </w:tcBorders>
          </w:tcPr>
          <w:p w14:paraId="5D77374D"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77" w:type="dxa"/>
            <w:tcBorders>
              <w:top w:val="single" w:sz="4" w:space="0" w:color="000000"/>
              <w:left w:val="single" w:sz="4" w:space="0" w:color="000000"/>
              <w:bottom w:val="single" w:sz="4" w:space="0" w:color="000000"/>
              <w:right w:val="single" w:sz="4" w:space="0" w:color="000000"/>
            </w:tcBorders>
          </w:tcPr>
          <w:p w14:paraId="419162EF"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42CAA156"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22484E2D"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901" w:type="dxa"/>
            <w:tcBorders>
              <w:top w:val="single" w:sz="4" w:space="0" w:color="000000"/>
              <w:left w:val="single" w:sz="4" w:space="0" w:color="000000"/>
              <w:bottom w:val="single" w:sz="4" w:space="0" w:color="000000"/>
              <w:right w:val="single" w:sz="4" w:space="0" w:color="000000"/>
            </w:tcBorders>
          </w:tcPr>
          <w:p w14:paraId="4AEBD0D1"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7" w:type="dxa"/>
            <w:tcBorders>
              <w:top w:val="single" w:sz="4" w:space="0" w:color="000000"/>
              <w:left w:val="single" w:sz="4" w:space="0" w:color="000000"/>
              <w:bottom w:val="single" w:sz="4" w:space="0" w:color="000000"/>
              <w:right w:val="single" w:sz="4" w:space="0" w:color="000000"/>
            </w:tcBorders>
          </w:tcPr>
          <w:p w14:paraId="53B6B74E"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77" w:type="dxa"/>
            <w:tcBorders>
              <w:top w:val="single" w:sz="4" w:space="0" w:color="000000"/>
              <w:left w:val="single" w:sz="4" w:space="0" w:color="000000"/>
              <w:bottom w:val="single" w:sz="4" w:space="0" w:color="000000"/>
              <w:right w:val="single" w:sz="4" w:space="0" w:color="000000"/>
            </w:tcBorders>
          </w:tcPr>
          <w:p w14:paraId="23A31789"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6079493E"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729C2D6A"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901" w:type="dxa"/>
            <w:tcBorders>
              <w:top w:val="single" w:sz="4" w:space="0" w:color="000000"/>
              <w:left w:val="single" w:sz="4" w:space="0" w:color="000000"/>
              <w:bottom w:val="single" w:sz="4" w:space="0" w:color="000000"/>
              <w:right w:val="single" w:sz="4" w:space="0" w:color="000000"/>
            </w:tcBorders>
          </w:tcPr>
          <w:p w14:paraId="6C873F28"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7" w:type="dxa"/>
            <w:tcBorders>
              <w:top w:val="single" w:sz="4" w:space="0" w:color="000000"/>
              <w:left w:val="single" w:sz="4" w:space="0" w:color="000000"/>
              <w:bottom w:val="single" w:sz="4" w:space="0" w:color="000000"/>
              <w:right w:val="single" w:sz="4" w:space="0" w:color="000000"/>
            </w:tcBorders>
          </w:tcPr>
          <w:p w14:paraId="1B8EC0EB"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77" w:type="dxa"/>
            <w:tcBorders>
              <w:top w:val="single" w:sz="4" w:space="0" w:color="000000"/>
              <w:left w:val="single" w:sz="4" w:space="0" w:color="000000"/>
              <w:bottom w:val="single" w:sz="4" w:space="0" w:color="000000"/>
              <w:right w:val="single" w:sz="4" w:space="0" w:color="000000"/>
            </w:tcBorders>
          </w:tcPr>
          <w:p w14:paraId="4E8BB3B0"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3C977989"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27FBB55A" w14:textId="6B8CB762"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901" w:type="dxa"/>
            <w:tcBorders>
              <w:top w:val="single" w:sz="4" w:space="0" w:color="000000"/>
              <w:left w:val="single" w:sz="4" w:space="0" w:color="000000"/>
              <w:bottom w:val="single" w:sz="4" w:space="0" w:color="000000"/>
              <w:right w:val="single" w:sz="4" w:space="0" w:color="000000"/>
            </w:tcBorders>
          </w:tcPr>
          <w:p w14:paraId="7E6911C3"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07" w:type="dxa"/>
            <w:tcBorders>
              <w:top w:val="single" w:sz="4" w:space="0" w:color="000000"/>
              <w:left w:val="single" w:sz="4" w:space="0" w:color="000000"/>
              <w:bottom w:val="single" w:sz="4" w:space="0" w:color="000000"/>
              <w:right w:val="single" w:sz="4" w:space="0" w:color="000000"/>
            </w:tcBorders>
          </w:tcPr>
          <w:p w14:paraId="1FDB5E67"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77" w:type="dxa"/>
            <w:tcBorders>
              <w:top w:val="single" w:sz="4" w:space="0" w:color="000000"/>
              <w:left w:val="single" w:sz="4" w:space="0" w:color="000000"/>
              <w:bottom w:val="single" w:sz="4" w:space="0" w:color="000000"/>
              <w:right w:val="single" w:sz="4" w:space="0" w:color="000000"/>
            </w:tcBorders>
          </w:tcPr>
          <w:p w14:paraId="3DC152EF"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06C2CB4F"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1A1E4707"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Lisa-Marie Mederos</w:t>
            </w:r>
          </w:p>
        </w:tc>
        <w:tc>
          <w:tcPr>
            <w:tcW w:w="901" w:type="dxa"/>
            <w:tcBorders>
              <w:top w:val="single" w:sz="4" w:space="0" w:color="000000"/>
              <w:left w:val="single" w:sz="4" w:space="0" w:color="000000"/>
              <w:bottom w:val="single" w:sz="4" w:space="0" w:color="000000"/>
              <w:right w:val="single" w:sz="4" w:space="0" w:color="000000"/>
            </w:tcBorders>
          </w:tcPr>
          <w:p w14:paraId="16978B3F"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07" w:type="dxa"/>
            <w:tcBorders>
              <w:top w:val="single" w:sz="4" w:space="0" w:color="000000"/>
              <w:left w:val="single" w:sz="4" w:space="0" w:color="000000"/>
              <w:bottom w:val="single" w:sz="4" w:space="0" w:color="000000"/>
              <w:right w:val="single" w:sz="4" w:space="0" w:color="000000"/>
            </w:tcBorders>
          </w:tcPr>
          <w:p w14:paraId="4EC5B01A"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77" w:type="dxa"/>
            <w:tcBorders>
              <w:top w:val="single" w:sz="4" w:space="0" w:color="000000"/>
              <w:left w:val="single" w:sz="4" w:space="0" w:color="000000"/>
              <w:bottom w:val="single" w:sz="4" w:space="0" w:color="000000"/>
              <w:right w:val="single" w:sz="4" w:space="0" w:color="000000"/>
            </w:tcBorders>
          </w:tcPr>
          <w:p w14:paraId="1101A27A" w14:textId="77777777" w:rsidR="00B813F6" w:rsidRDefault="00B813F6" w:rsidP="00552F7A">
            <w:pPr>
              <w:jc w:val="center"/>
              <w:rPr>
                <w:rFonts w:ascii="Trebuchet MS" w:eastAsia="Trebuchet MS" w:hAnsi="Trebuchet MS" w:cs="Trebuchet MS"/>
                <w:sz w:val="17"/>
                <w:szCs w:val="17"/>
              </w:rPr>
            </w:pPr>
            <w:r>
              <w:rPr>
                <w:rFonts w:ascii="Trebuchet MS" w:eastAsia="Trebuchet MS" w:hAnsi="Trebuchet MS" w:cs="Trebuchet MS"/>
                <w:sz w:val="17"/>
                <w:szCs w:val="17"/>
              </w:rPr>
              <w:t>x</w:t>
            </w:r>
          </w:p>
        </w:tc>
      </w:tr>
      <w:tr w:rsidR="00B813F6" w14:paraId="27BF85DB"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79FE56E2" w14:textId="595E773C"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Eric Anderson</w:t>
            </w:r>
          </w:p>
        </w:tc>
        <w:tc>
          <w:tcPr>
            <w:tcW w:w="901" w:type="dxa"/>
            <w:tcBorders>
              <w:top w:val="single" w:sz="4" w:space="0" w:color="000000"/>
              <w:left w:val="single" w:sz="4" w:space="0" w:color="000000"/>
              <w:bottom w:val="single" w:sz="4" w:space="0" w:color="000000"/>
              <w:right w:val="single" w:sz="4" w:space="0" w:color="000000"/>
            </w:tcBorders>
          </w:tcPr>
          <w:p w14:paraId="2D581D5B"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07" w:type="dxa"/>
            <w:tcBorders>
              <w:top w:val="single" w:sz="4" w:space="0" w:color="000000"/>
              <w:left w:val="single" w:sz="4" w:space="0" w:color="000000"/>
              <w:bottom w:val="single" w:sz="4" w:space="0" w:color="000000"/>
              <w:right w:val="single" w:sz="4" w:space="0" w:color="000000"/>
            </w:tcBorders>
          </w:tcPr>
          <w:p w14:paraId="286AEC46"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77" w:type="dxa"/>
            <w:tcBorders>
              <w:top w:val="single" w:sz="4" w:space="0" w:color="000000"/>
              <w:left w:val="single" w:sz="4" w:space="0" w:color="000000"/>
              <w:bottom w:val="single" w:sz="4" w:space="0" w:color="000000"/>
              <w:right w:val="single" w:sz="4" w:space="0" w:color="000000"/>
            </w:tcBorders>
          </w:tcPr>
          <w:p w14:paraId="28F70675" w14:textId="27376987" w:rsidR="00B813F6" w:rsidRDefault="00B813F6" w:rsidP="00552F7A">
            <w:pPr>
              <w:spacing w:line="276" w:lineRule="auto"/>
              <w:jc w:val="center"/>
              <w:rPr>
                <w:rFonts w:ascii="Trebuchet MS" w:eastAsia="Trebuchet MS" w:hAnsi="Trebuchet MS" w:cs="Trebuchet MS"/>
                <w:sz w:val="18"/>
                <w:szCs w:val="18"/>
              </w:rPr>
            </w:pPr>
          </w:p>
        </w:tc>
      </w:tr>
      <w:tr w:rsidR="00B813F6" w14:paraId="21DF0977"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797EE3BE" w14:textId="26F79768"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901" w:type="dxa"/>
            <w:tcBorders>
              <w:top w:val="single" w:sz="4" w:space="0" w:color="000000"/>
              <w:left w:val="single" w:sz="4" w:space="0" w:color="000000"/>
              <w:bottom w:val="single" w:sz="4" w:space="0" w:color="000000"/>
              <w:right w:val="single" w:sz="4" w:space="0" w:color="000000"/>
            </w:tcBorders>
          </w:tcPr>
          <w:p w14:paraId="13F3F147"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07" w:type="dxa"/>
            <w:tcBorders>
              <w:top w:val="single" w:sz="4" w:space="0" w:color="000000"/>
              <w:left w:val="single" w:sz="4" w:space="0" w:color="000000"/>
              <w:bottom w:val="single" w:sz="4" w:space="0" w:color="000000"/>
              <w:right w:val="single" w:sz="4" w:space="0" w:color="000000"/>
            </w:tcBorders>
          </w:tcPr>
          <w:p w14:paraId="107BF102"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1077" w:type="dxa"/>
            <w:tcBorders>
              <w:top w:val="single" w:sz="4" w:space="0" w:color="000000"/>
              <w:left w:val="single" w:sz="4" w:space="0" w:color="000000"/>
              <w:bottom w:val="single" w:sz="4" w:space="0" w:color="000000"/>
              <w:right w:val="single" w:sz="4" w:space="0" w:color="000000"/>
            </w:tcBorders>
          </w:tcPr>
          <w:p w14:paraId="7DD9A6C0" w14:textId="13D81E9C" w:rsidR="00B813F6" w:rsidRDefault="00B813F6" w:rsidP="00552F7A">
            <w:pPr>
              <w:spacing w:line="276" w:lineRule="auto"/>
              <w:jc w:val="center"/>
              <w:rPr>
                <w:rFonts w:ascii="Trebuchet MS" w:eastAsia="Trebuchet MS" w:hAnsi="Trebuchet MS" w:cs="Trebuchet MS"/>
                <w:sz w:val="18"/>
                <w:szCs w:val="18"/>
              </w:rPr>
            </w:pPr>
          </w:p>
        </w:tc>
      </w:tr>
      <w:tr w:rsidR="00B813F6" w14:paraId="7E17BE3B"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047ADB7F"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901" w:type="dxa"/>
            <w:tcBorders>
              <w:top w:val="single" w:sz="4" w:space="0" w:color="000000"/>
              <w:left w:val="single" w:sz="4" w:space="0" w:color="000000"/>
              <w:bottom w:val="single" w:sz="4" w:space="0" w:color="000000"/>
              <w:right w:val="single" w:sz="4" w:space="0" w:color="000000"/>
            </w:tcBorders>
          </w:tcPr>
          <w:p w14:paraId="784352A0"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07" w:type="dxa"/>
            <w:tcBorders>
              <w:top w:val="single" w:sz="4" w:space="0" w:color="000000"/>
              <w:left w:val="single" w:sz="4" w:space="0" w:color="000000"/>
              <w:bottom w:val="single" w:sz="4" w:space="0" w:color="000000"/>
              <w:right w:val="single" w:sz="4" w:space="0" w:color="000000"/>
            </w:tcBorders>
          </w:tcPr>
          <w:p w14:paraId="49C5CCDE"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77" w:type="dxa"/>
            <w:tcBorders>
              <w:top w:val="single" w:sz="4" w:space="0" w:color="000000"/>
              <w:left w:val="single" w:sz="4" w:space="0" w:color="000000"/>
              <w:bottom w:val="single" w:sz="4" w:space="0" w:color="000000"/>
              <w:right w:val="single" w:sz="4" w:space="0" w:color="000000"/>
            </w:tcBorders>
          </w:tcPr>
          <w:p w14:paraId="44514D85"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66648FB9"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6FE9D23F"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901" w:type="dxa"/>
            <w:tcBorders>
              <w:top w:val="single" w:sz="4" w:space="0" w:color="000000"/>
              <w:left w:val="single" w:sz="4" w:space="0" w:color="000000"/>
              <w:bottom w:val="single" w:sz="4" w:space="0" w:color="000000"/>
              <w:right w:val="single" w:sz="4" w:space="0" w:color="000000"/>
            </w:tcBorders>
          </w:tcPr>
          <w:p w14:paraId="78339B9E"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07" w:type="dxa"/>
            <w:tcBorders>
              <w:top w:val="single" w:sz="4" w:space="0" w:color="000000"/>
              <w:left w:val="single" w:sz="4" w:space="0" w:color="000000"/>
              <w:bottom w:val="single" w:sz="4" w:space="0" w:color="000000"/>
              <w:right w:val="single" w:sz="4" w:space="0" w:color="000000"/>
            </w:tcBorders>
          </w:tcPr>
          <w:p w14:paraId="6EE5E96B"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77" w:type="dxa"/>
            <w:tcBorders>
              <w:top w:val="single" w:sz="4" w:space="0" w:color="000000"/>
              <w:left w:val="single" w:sz="4" w:space="0" w:color="000000"/>
              <w:bottom w:val="single" w:sz="4" w:space="0" w:color="000000"/>
              <w:right w:val="single" w:sz="4" w:space="0" w:color="000000"/>
            </w:tcBorders>
          </w:tcPr>
          <w:p w14:paraId="053892CE"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168F82CA"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3AEA9076"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901" w:type="dxa"/>
            <w:tcBorders>
              <w:top w:val="single" w:sz="4" w:space="0" w:color="000000"/>
              <w:left w:val="single" w:sz="4" w:space="0" w:color="000000"/>
              <w:bottom w:val="single" w:sz="4" w:space="0" w:color="000000"/>
              <w:right w:val="single" w:sz="4" w:space="0" w:color="000000"/>
            </w:tcBorders>
          </w:tcPr>
          <w:p w14:paraId="53B4DA0E"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07" w:type="dxa"/>
            <w:tcBorders>
              <w:top w:val="single" w:sz="4" w:space="0" w:color="000000"/>
              <w:left w:val="single" w:sz="4" w:space="0" w:color="000000"/>
              <w:bottom w:val="single" w:sz="4" w:space="0" w:color="000000"/>
              <w:right w:val="single" w:sz="4" w:space="0" w:color="000000"/>
            </w:tcBorders>
          </w:tcPr>
          <w:p w14:paraId="5C1E2719"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77" w:type="dxa"/>
            <w:tcBorders>
              <w:top w:val="single" w:sz="4" w:space="0" w:color="000000"/>
              <w:left w:val="single" w:sz="4" w:space="0" w:color="000000"/>
              <w:bottom w:val="single" w:sz="4" w:space="0" w:color="000000"/>
              <w:right w:val="single" w:sz="4" w:space="0" w:color="000000"/>
            </w:tcBorders>
          </w:tcPr>
          <w:p w14:paraId="0BCEC606" w14:textId="651B13D9" w:rsidR="00B813F6" w:rsidRDefault="000C6F5A" w:rsidP="000C6F5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2215059F"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1A99321D"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901" w:type="dxa"/>
            <w:tcBorders>
              <w:top w:val="single" w:sz="4" w:space="0" w:color="000000"/>
              <w:left w:val="single" w:sz="4" w:space="0" w:color="000000"/>
              <w:bottom w:val="single" w:sz="4" w:space="0" w:color="000000"/>
              <w:right w:val="single" w:sz="4" w:space="0" w:color="000000"/>
            </w:tcBorders>
          </w:tcPr>
          <w:p w14:paraId="022434E4"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07" w:type="dxa"/>
            <w:tcBorders>
              <w:top w:val="single" w:sz="4" w:space="0" w:color="000000"/>
              <w:left w:val="single" w:sz="4" w:space="0" w:color="000000"/>
              <w:bottom w:val="single" w:sz="4" w:space="0" w:color="000000"/>
              <w:right w:val="single" w:sz="4" w:space="0" w:color="000000"/>
            </w:tcBorders>
          </w:tcPr>
          <w:p w14:paraId="420DC4B4"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77" w:type="dxa"/>
            <w:tcBorders>
              <w:top w:val="single" w:sz="4" w:space="0" w:color="000000"/>
              <w:left w:val="single" w:sz="4" w:space="0" w:color="000000"/>
              <w:bottom w:val="single" w:sz="4" w:space="0" w:color="000000"/>
              <w:right w:val="single" w:sz="4" w:space="0" w:color="000000"/>
            </w:tcBorders>
          </w:tcPr>
          <w:p w14:paraId="253FF7E0"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5D9F099F"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1B8575E9"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Sandra Guzman </w:t>
            </w:r>
          </w:p>
        </w:tc>
        <w:tc>
          <w:tcPr>
            <w:tcW w:w="901" w:type="dxa"/>
            <w:tcBorders>
              <w:top w:val="single" w:sz="4" w:space="0" w:color="000000"/>
              <w:left w:val="single" w:sz="4" w:space="0" w:color="000000"/>
              <w:bottom w:val="single" w:sz="4" w:space="0" w:color="000000"/>
              <w:right w:val="single" w:sz="4" w:space="0" w:color="000000"/>
            </w:tcBorders>
          </w:tcPr>
          <w:p w14:paraId="6A093A9E"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07" w:type="dxa"/>
            <w:tcBorders>
              <w:top w:val="single" w:sz="4" w:space="0" w:color="000000"/>
              <w:left w:val="single" w:sz="4" w:space="0" w:color="000000"/>
              <w:bottom w:val="single" w:sz="4" w:space="0" w:color="000000"/>
              <w:right w:val="single" w:sz="4" w:space="0" w:color="000000"/>
            </w:tcBorders>
          </w:tcPr>
          <w:p w14:paraId="7F1AAA78"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77" w:type="dxa"/>
            <w:tcBorders>
              <w:top w:val="single" w:sz="4" w:space="0" w:color="000000"/>
              <w:left w:val="single" w:sz="4" w:space="0" w:color="000000"/>
              <w:bottom w:val="single" w:sz="4" w:space="0" w:color="000000"/>
              <w:right w:val="single" w:sz="4" w:space="0" w:color="000000"/>
            </w:tcBorders>
          </w:tcPr>
          <w:p w14:paraId="3D0AAD16"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4FFDEEB9"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3940F06E"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Dawna DeMartini</w:t>
            </w:r>
          </w:p>
        </w:tc>
        <w:tc>
          <w:tcPr>
            <w:tcW w:w="901" w:type="dxa"/>
            <w:tcBorders>
              <w:top w:val="single" w:sz="4" w:space="0" w:color="000000"/>
              <w:left w:val="single" w:sz="4" w:space="0" w:color="000000"/>
              <w:bottom w:val="single" w:sz="4" w:space="0" w:color="000000"/>
              <w:right w:val="single" w:sz="4" w:space="0" w:color="000000"/>
            </w:tcBorders>
          </w:tcPr>
          <w:p w14:paraId="0B54735F"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07" w:type="dxa"/>
            <w:tcBorders>
              <w:top w:val="single" w:sz="4" w:space="0" w:color="000000"/>
              <w:left w:val="single" w:sz="4" w:space="0" w:color="000000"/>
              <w:bottom w:val="single" w:sz="4" w:space="0" w:color="000000"/>
              <w:right w:val="single" w:sz="4" w:space="0" w:color="000000"/>
            </w:tcBorders>
          </w:tcPr>
          <w:p w14:paraId="41DABAF5"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77" w:type="dxa"/>
            <w:tcBorders>
              <w:top w:val="single" w:sz="4" w:space="0" w:color="000000"/>
              <w:left w:val="single" w:sz="4" w:space="0" w:color="000000"/>
              <w:bottom w:val="single" w:sz="4" w:space="0" w:color="000000"/>
              <w:right w:val="single" w:sz="4" w:space="0" w:color="000000"/>
            </w:tcBorders>
          </w:tcPr>
          <w:p w14:paraId="7F4332B9"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5A59BED2"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5BBC1170" w14:textId="77777777" w:rsidR="00B813F6" w:rsidRDefault="00B813F6" w:rsidP="00552F7A">
            <w:pPr>
              <w:spacing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t>Amy Strimling</w:t>
            </w:r>
          </w:p>
        </w:tc>
        <w:tc>
          <w:tcPr>
            <w:tcW w:w="901" w:type="dxa"/>
            <w:tcBorders>
              <w:top w:val="single" w:sz="4" w:space="0" w:color="000000"/>
              <w:left w:val="single" w:sz="4" w:space="0" w:color="000000"/>
              <w:bottom w:val="single" w:sz="4" w:space="0" w:color="000000"/>
              <w:right w:val="single" w:sz="4" w:space="0" w:color="000000"/>
            </w:tcBorders>
          </w:tcPr>
          <w:p w14:paraId="58F5D48C"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07" w:type="dxa"/>
            <w:tcBorders>
              <w:top w:val="single" w:sz="4" w:space="0" w:color="000000"/>
              <w:left w:val="single" w:sz="4" w:space="0" w:color="000000"/>
              <w:bottom w:val="single" w:sz="4" w:space="0" w:color="000000"/>
              <w:right w:val="single" w:sz="4" w:space="0" w:color="000000"/>
            </w:tcBorders>
          </w:tcPr>
          <w:p w14:paraId="69E7D70C"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77" w:type="dxa"/>
            <w:tcBorders>
              <w:top w:val="single" w:sz="4" w:space="0" w:color="000000"/>
              <w:left w:val="single" w:sz="4" w:space="0" w:color="000000"/>
              <w:bottom w:val="single" w:sz="4" w:space="0" w:color="000000"/>
              <w:right w:val="single" w:sz="4" w:space="0" w:color="000000"/>
            </w:tcBorders>
          </w:tcPr>
          <w:p w14:paraId="7E31DF8A"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2D9C2C27"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3FFA6AB6"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Lori Petite</w:t>
            </w:r>
          </w:p>
        </w:tc>
        <w:tc>
          <w:tcPr>
            <w:tcW w:w="901" w:type="dxa"/>
            <w:tcBorders>
              <w:top w:val="single" w:sz="4" w:space="0" w:color="000000"/>
              <w:left w:val="single" w:sz="4" w:space="0" w:color="000000"/>
              <w:bottom w:val="single" w:sz="4" w:space="0" w:color="000000"/>
              <w:right w:val="single" w:sz="4" w:space="0" w:color="000000"/>
            </w:tcBorders>
          </w:tcPr>
          <w:p w14:paraId="04DC9B97"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07" w:type="dxa"/>
            <w:tcBorders>
              <w:top w:val="single" w:sz="4" w:space="0" w:color="000000"/>
              <w:left w:val="single" w:sz="4" w:space="0" w:color="000000"/>
              <w:bottom w:val="single" w:sz="4" w:space="0" w:color="000000"/>
              <w:right w:val="single" w:sz="4" w:space="0" w:color="000000"/>
            </w:tcBorders>
          </w:tcPr>
          <w:p w14:paraId="1E49B0AC"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77" w:type="dxa"/>
            <w:tcBorders>
              <w:top w:val="single" w:sz="4" w:space="0" w:color="000000"/>
              <w:left w:val="single" w:sz="4" w:space="0" w:color="000000"/>
              <w:bottom w:val="single" w:sz="4" w:space="0" w:color="000000"/>
              <w:right w:val="single" w:sz="4" w:space="0" w:color="000000"/>
            </w:tcBorders>
          </w:tcPr>
          <w:p w14:paraId="0C0B6E89"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07C80AC5"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5B56985A"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Bill Simpson</w:t>
            </w:r>
          </w:p>
        </w:tc>
        <w:tc>
          <w:tcPr>
            <w:tcW w:w="901" w:type="dxa"/>
            <w:tcBorders>
              <w:top w:val="single" w:sz="4" w:space="0" w:color="000000"/>
              <w:left w:val="single" w:sz="4" w:space="0" w:color="000000"/>
              <w:bottom w:val="single" w:sz="4" w:space="0" w:color="000000"/>
              <w:right w:val="single" w:sz="4" w:space="0" w:color="000000"/>
            </w:tcBorders>
          </w:tcPr>
          <w:p w14:paraId="241F99C7"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07" w:type="dxa"/>
            <w:tcBorders>
              <w:top w:val="single" w:sz="4" w:space="0" w:color="000000"/>
              <w:left w:val="single" w:sz="4" w:space="0" w:color="000000"/>
              <w:bottom w:val="single" w:sz="4" w:space="0" w:color="000000"/>
              <w:right w:val="single" w:sz="4" w:space="0" w:color="000000"/>
            </w:tcBorders>
          </w:tcPr>
          <w:p w14:paraId="6B5B1C0A"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1077" w:type="dxa"/>
            <w:tcBorders>
              <w:top w:val="single" w:sz="4" w:space="0" w:color="000000"/>
              <w:left w:val="single" w:sz="4" w:space="0" w:color="000000"/>
              <w:bottom w:val="single" w:sz="4" w:space="0" w:color="000000"/>
              <w:right w:val="single" w:sz="4" w:space="0" w:color="000000"/>
            </w:tcBorders>
          </w:tcPr>
          <w:p w14:paraId="214FA70B" w14:textId="77777777" w:rsidR="00B813F6" w:rsidRDefault="00B813F6" w:rsidP="00552F7A">
            <w:pPr>
              <w:spacing w:line="276" w:lineRule="auto"/>
              <w:jc w:val="center"/>
              <w:rPr>
                <w:color w:val="000000"/>
                <w:sz w:val="18"/>
                <w:szCs w:val="18"/>
              </w:rPr>
            </w:pPr>
            <w:r>
              <w:rPr>
                <w:color w:val="000000"/>
                <w:sz w:val="18"/>
                <w:szCs w:val="18"/>
              </w:rPr>
              <w:t>x</w:t>
            </w:r>
          </w:p>
        </w:tc>
      </w:tr>
      <w:tr w:rsidR="00B813F6" w14:paraId="799CE929"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2051DCC5"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Morgan Murphy</w:t>
            </w:r>
          </w:p>
        </w:tc>
        <w:tc>
          <w:tcPr>
            <w:tcW w:w="901" w:type="dxa"/>
            <w:tcBorders>
              <w:top w:val="single" w:sz="4" w:space="0" w:color="000000"/>
              <w:left w:val="single" w:sz="4" w:space="0" w:color="000000"/>
              <w:bottom w:val="single" w:sz="4" w:space="0" w:color="000000"/>
              <w:right w:val="single" w:sz="4" w:space="0" w:color="000000"/>
            </w:tcBorders>
          </w:tcPr>
          <w:p w14:paraId="7F8F23B1"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07" w:type="dxa"/>
            <w:tcBorders>
              <w:top w:val="single" w:sz="4" w:space="0" w:color="000000"/>
              <w:left w:val="single" w:sz="4" w:space="0" w:color="000000"/>
              <w:bottom w:val="single" w:sz="4" w:space="0" w:color="000000"/>
              <w:right w:val="single" w:sz="4" w:space="0" w:color="000000"/>
            </w:tcBorders>
          </w:tcPr>
          <w:p w14:paraId="31592AFF"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1077" w:type="dxa"/>
            <w:tcBorders>
              <w:top w:val="single" w:sz="4" w:space="0" w:color="000000"/>
              <w:left w:val="single" w:sz="4" w:space="0" w:color="000000"/>
              <w:bottom w:val="single" w:sz="4" w:space="0" w:color="000000"/>
              <w:right w:val="single" w:sz="4" w:space="0" w:color="000000"/>
            </w:tcBorders>
          </w:tcPr>
          <w:p w14:paraId="44D34F7B"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70E9802E"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13A9D50A"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901" w:type="dxa"/>
            <w:tcBorders>
              <w:top w:val="single" w:sz="4" w:space="0" w:color="000000"/>
              <w:left w:val="single" w:sz="4" w:space="0" w:color="000000"/>
              <w:bottom w:val="single" w:sz="4" w:space="0" w:color="000000"/>
              <w:right w:val="single" w:sz="4" w:space="0" w:color="000000"/>
            </w:tcBorders>
          </w:tcPr>
          <w:p w14:paraId="755E9FF2"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07" w:type="dxa"/>
            <w:tcBorders>
              <w:top w:val="single" w:sz="4" w:space="0" w:color="000000"/>
              <w:left w:val="single" w:sz="4" w:space="0" w:color="000000"/>
              <w:bottom w:val="single" w:sz="4" w:space="0" w:color="000000"/>
              <w:right w:val="single" w:sz="4" w:space="0" w:color="000000"/>
            </w:tcBorders>
          </w:tcPr>
          <w:p w14:paraId="4A2AF369"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1077" w:type="dxa"/>
            <w:tcBorders>
              <w:top w:val="single" w:sz="4" w:space="0" w:color="000000"/>
              <w:left w:val="single" w:sz="4" w:space="0" w:color="000000"/>
              <w:bottom w:val="single" w:sz="4" w:space="0" w:color="000000"/>
              <w:right w:val="single" w:sz="4" w:space="0" w:color="000000"/>
            </w:tcBorders>
          </w:tcPr>
          <w:p w14:paraId="6CC8DD95" w14:textId="77777777" w:rsidR="00B813F6" w:rsidRDefault="00B813F6" w:rsidP="00552F7A">
            <w:pPr>
              <w:spacing w:line="276" w:lineRule="auto"/>
              <w:jc w:val="center"/>
              <w:rPr>
                <w:rFonts w:ascii="Trebuchet MS" w:eastAsia="Trebuchet MS" w:hAnsi="Trebuchet MS" w:cs="Trebuchet MS"/>
                <w:sz w:val="18"/>
                <w:szCs w:val="18"/>
              </w:rPr>
            </w:pPr>
          </w:p>
        </w:tc>
      </w:tr>
      <w:tr w:rsidR="00B813F6" w14:paraId="07231CC7"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48E76A02"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901" w:type="dxa"/>
            <w:tcBorders>
              <w:top w:val="single" w:sz="4" w:space="0" w:color="000000"/>
              <w:left w:val="single" w:sz="4" w:space="0" w:color="000000"/>
              <w:bottom w:val="single" w:sz="4" w:space="0" w:color="000000"/>
              <w:right w:val="single" w:sz="4" w:space="0" w:color="000000"/>
            </w:tcBorders>
          </w:tcPr>
          <w:p w14:paraId="70DAADF5"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07" w:type="dxa"/>
            <w:tcBorders>
              <w:top w:val="single" w:sz="4" w:space="0" w:color="000000"/>
              <w:left w:val="single" w:sz="4" w:space="0" w:color="000000"/>
              <w:bottom w:val="single" w:sz="4" w:space="0" w:color="000000"/>
              <w:right w:val="single" w:sz="4" w:space="0" w:color="000000"/>
            </w:tcBorders>
          </w:tcPr>
          <w:p w14:paraId="10508B0A"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1077" w:type="dxa"/>
            <w:tcBorders>
              <w:top w:val="single" w:sz="4" w:space="0" w:color="000000"/>
              <w:left w:val="single" w:sz="4" w:space="0" w:color="000000"/>
              <w:bottom w:val="single" w:sz="4" w:space="0" w:color="000000"/>
              <w:right w:val="single" w:sz="4" w:space="0" w:color="000000"/>
            </w:tcBorders>
          </w:tcPr>
          <w:p w14:paraId="7CF2BBFF" w14:textId="3B0E9D6D" w:rsidR="00B813F6" w:rsidRDefault="000C6F5A"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6CBDF01B"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6913AA93"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901" w:type="dxa"/>
            <w:tcBorders>
              <w:top w:val="single" w:sz="4" w:space="0" w:color="000000"/>
              <w:left w:val="single" w:sz="4" w:space="0" w:color="000000"/>
              <w:bottom w:val="single" w:sz="4" w:space="0" w:color="000000"/>
              <w:right w:val="single" w:sz="4" w:space="0" w:color="000000"/>
            </w:tcBorders>
          </w:tcPr>
          <w:p w14:paraId="3283B0A8"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07" w:type="dxa"/>
            <w:tcBorders>
              <w:top w:val="single" w:sz="4" w:space="0" w:color="000000"/>
              <w:left w:val="single" w:sz="4" w:space="0" w:color="000000"/>
              <w:bottom w:val="single" w:sz="4" w:space="0" w:color="000000"/>
              <w:right w:val="single" w:sz="4" w:space="0" w:color="000000"/>
            </w:tcBorders>
          </w:tcPr>
          <w:p w14:paraId="011CDC0D"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1077" w:type="dxa"/>
            <w:tcBorders>
              <w:top w:val="single" w:sz="4" w:space="0" w:color="000000"/>
              <w:left w:val="single" w:sz="4" w:space="0" w:color="000000"/>
              <w:bottom w:val="single" w:sz="4" w:space="0" w:color="000000"/>
              <w:right w:val="single" w:sz="4" w:space="0" w:color="000000"/>
            </w:tcBorders>
          </w:tcPr>
          <w:p w14:paraId="4B3288FB"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573BD63B"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4DB128D4"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Georgine Hodgkinson</w:t>
            </w:r>
          </w:p>
          <w:p w14:paraId="207831F2"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Kalinda Jones</w:t>
            </w:r>
          </w:p>
        </w:tc>
        <w:tc>
          <w:tcPr>
            <w:tcW w:w="901" w:type="dxa"/>
            <w:tcBorders>
              <w:top w:val="single" w:sz="4" w:space="0" w:color="000000"/>
              <w:left w:val="single" w:sz="4" w:space="0" w:color="000000"/>
              <w:bottom w:val="single" w:sz="4" w:space="0" w:color="000000"/>
              <w:right w:val="single" w:sz="4" w:space="0" w:color="000000"/>
            </w:tcBorders>
          </w:tcPr>
          <w:p w14:paraId="3E20DE17" w14:textId="77777777" w:rsidR="00B813F6" w:rsidRDefault="00B813F6" w:rsidP="00552F7A">
            <w:pPr>
              <w:spacing w:line="276" w:lineRule="auto"/>
              <w:rPr>
                <w:rFonts w:ascii="Trebuchet MS" w:eastAsia="Trebuchet MS" w:hAnsi="Trebuchet MS" w:cs="Trebuchet MS"/>
                <w:sz w:val="17"/>
                <w:szCs w:val="17"/>
              </w:rPr>
            </w:pPr>
          </w:p>
          <w:p w14:paraId="0DF4F5A5"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14:paraId="098073E4"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07" w:type="dxa"/>
            <w:tcBorders>
              <w:top w:val="single" w:sz="4" w:space="0" w:color="000000"/>
              <w:left w:val="single" w:sz="4" w:space="0" w:color="000000"/>
              <w:bottom w:val="single" w:sz="4" w:space="0" w:color="000000"/>
              <w:right w:val="single" w:sz="4" w:space="0" w:color="000000"/>
            </w:tcBorders>
          </w:tcPr>
          <w:p w14:paraId="1FEAA71B"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Prison Reentry Education Program Committee (PREPC)</w:t>
            </w:r>
          </w:p>
        </w:tc>
        <w:tc>
          <w:tcPr>
            <w:tcW w:w="1077" w:type="dxa"/>
            <w:tcBorders>
              <w:top w:val="single" w:sz="4" w:space="0" w:color="000000"/>
              <w:left w:val="single" w:sz="4" w:space="0" w:color="000000"/>
              <w:bottom w:val="single" w:sz="4" w:space="0" w:color="000000"/>
              <w:right w:val="single" w:sz="4" w:space="0" w:color="000000"/>
            </w:tcBorders>
          </w:tcPr>
          <w:p w14:paraId="08196FE8" w14:textId="77777777" w:rsidR="00B813F6" w:rsidRDefault="00B813F6" w:rsidP="00552F7A">
            <w:pPr>
              <w:spacing w:line="276" w:lineRule="auto"/>
              <w:jc w:val="center"/>
              <w:rPr>
                <w:rFonts w:ascii="Trebuchet MS" w:eastAsia="Trebuchet MS" w:hAnsi="Trebuchet MS" w:cs="Trebuchet MS"/>
                <w:sz w:val="18"/>
                <w:szCs w:val="18"/>
              </w:rPr>
            </w:pPr>
          </w:p>
          <w:p w14:paraId="52E6DA7E" w14:textId="77777777" w:rsidR="00B813F6" w:rsidRDefault="00B813F6" w:rsidP="00552F7A">
            <w:pPr>
              <w:spacing w:line="276" w:lineRule="auto"/>
              <w:jc w:val="center"/>
              <w:rPr>
                <w:rFonts w:ascii="Trebuchet MS" w:eastAsia="Trebuchet MS" w:hAnsi="Trebuchet MS" w:cs="Trebuchet MS"/>
                <w:sz w:val="18"/>
                <w:szCs w:val="18"/>
              </w:rPr>
            </w:pPr>
          </w:p>
          <w:p w14:paraId="7D58EAFD"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813F6" w14:paraId="18C55599" w14:textId="77777777" w:rsidTr="0052442F">
        <w:trPr>
          <w:trHeight w:val="345"/>
        </w:trPr>
        <w:tc>
          <w:tcPr>
            <w:tcW w:w="1705" w:type="dxa"/>
            <w:tcBorders>
              <w:top w:val="single" w:sz="4" w:space="0" w:color="000000"/>
              <w:left w:val="single" w:sz="4" w:space="0" w:color="000000"/>
              <w:bottom w:val="single" w:sz="4" w:space="0" w:color="000000"/>
              <w:right w:val="single" w:sz="4" w:space="0" w:color="000000"/>
            </w:tcBorders>
          </w:tcPr>
          <w:p w14:paraId="2D968C0C"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Tamara Cheshire</w:t>
            </w:r>
          </w:p>
          <w:p w14:paraId="03877072"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Keith Heningburg</w:t>
            </w:r>
          </w:p>
        </w:tc>
        <w:tc>
          <w:tcPr>
            <w:tcW w:w="901" w:type="dxa"/>
            <w:tcBorders>
              <w:top w:val="single" w:sz="4" w:space="0" w:color="000000"/>
              <w:left w:val="single" w:sz="4" w:space="0" w:color="000000"/>
              <w:bottom w:val="single" w:sz="4" w:space="0" w:color="000000"/>
              <w:right w:val="single" w:sz="4" w:space="0" w:color="000000"/>
            </w:tcBorders>
          </w:tcPr>
          <w:p w14:paraId="7DF16ED9"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14:paraId="323665D5"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07" w:type="dxa"/>
            <w:tcBorders>
              <w:top w:val="single" w:sz="4" w:space="0" w:color="000000"/>
              <w:left w:val="single" w:sz="4" w:space="0" w:color="000000"/>
              <w:bottom w:val="single" w:sz="4" w:space="0" w:color="000000"/>
              <w:right w:val="single" w:sz="4" w:space="0" w:color="000000"/>
            </w:tcBorders>
          </w:tcPr>
          <w:p w14:paraId="6BED5E8A" w14:textId="77777777" w:rsidR="00B813F6" w:rsidRDefault="00B813F6" w:rsidP="00552F7A">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1077" w:type="dxa"/>
            <w:tcBorders>
              <w:top w:val="single" w:sz="4" w:space="0" w:color="000000"/>
              <w:left w:val="single" w:sz="4" w:space="0" w:color="000000"/>
              <w:bottom w:val="single" w:sz="4" w:space="0" w:color="000000"/>
              <w:right w:val="single" w:sz="4" w:space="0" w:color="000000"/>
            </w:tcBorders>
          </w:tcPr>
          <w:p w14:paraId="0C50BCE3"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p w14:paraId="106B018C" w14:textId="77777777" w:rsidR="00B813F6" w:rsidRDefault="00B813F6" w:rsidP="00552F7A">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p w14:paraId="74270A5C" w14:textId="77777777" w:rsidR="00B813F6" w:rsidRDefault="00B813F6" w:rsidP="00552F7A">
            <w:pPr>
              <w:spacing w:line="276" w:lineRule="auto"/>
              <w:jc w:val="center"/>
              <w:rPr>
                <w:rFonts w:ascii="Trebuchet MS" w:eastAsia="Trebuchet MS" w:hAnsi="Trebuchet MS" w:cs="Trebuchet MS"/>
                <w:sz w:val="18"/>
                <w:szCs w:val="18"/>
              </w:rPr>
            </w:pPr>
          </w:p>
        </w:tc>
      </w:tr>
    </w:tbl>
    <w:p w14:paraId="3643AC0C" w14:textId="77777777" w:rsidR="00B813F6" w:rsidRDefault="00B813F6">
      <w:pPr>
        <w:pStyle w:val="Body"/>
        <w:jc w:val="center"/>
        <w:rPr>
          <w:sz w:val="20"/>
          <w:szCs w:val="20"/>
        </w:rPr>
      </w:pPr>
    </w:p>
    <w:p w14:paraId="6EF6184B" w14:textId="77777777" w:rsidR="005B5ABF" w:rsidRDefault="00DB686F">
      <w:pPr>
        <w:pStyle w:val="Heading2"/>
        <w:spacing w:before="0" w:after="0"/>
      </w:pPr>
      <w:r>
        <w:t>Preliminaries</w:t>
      </w:r>
      <w:r>
        <w:tab/>
      </w:r>
    </w:p>
    <w:p w14:paraId="720EEB68" w14:textId="77777777" w:rsidR="005B5ABF" w:rsidRDefault="00DB686F">
      <w:pPr>
        <w:pStyle w:val="ListParagraph"/>
        <w:spacing w:before="0" w:after="0"/>
        <w:ind w:left="360"/>
      </w:pPr>
      <w:r>
        <w:rPr>
          <w:sz w:val="18"/>
          <w:szCs w:val="18"/>
        </w:rPr>
        <w:t>1</w:t>
      </w:r>
      <w:r>
        <w:t>. Welcome / Call to order</w:t>
      </w:r>
    </w:p>
    <w:p w14:paraId="4169DFDB" w14:textId="1E2AE375" w:rsidR="005B5ABF" w:rsidRDefault="00DB686F">
      <w:pPr>
        <w:pStyle w:val="ListParagraph"/>
        <w:spacing w:before="0" w:after="0"/>
        <w:ind w:left="360"/>
      </w:pPr>
      <w:r>
        <w:t xml:space="preserve">2. </w:t>
      </w:r>
      <w:hyperlink w:anchor="_Land_Acknowledgements" w:history="1">
        <w:r w:rsidRPr="00AF3B53">
          <w:rPr>
            <w:rStyle w:val="Hyperlink"/>
          </w:rPr>
          <w:t>Land Acknowledgement</w:t>
        </w:r>
      </w:hyperlink>
      <w:r>
        <w:t>: Los Rios Acknowledgment read</w:t>
      </w:r>
    </w:p>
    <w:p w14:paraId="15BD9DC4" w14:textId="77777777" w:rsidR="005B5ABF" w:rsidRDefault="00DB686F">
      <w:pPr>
        <w:pStyle w:val="ListParagraph"/>
        <w:spacing w:before="0" w:after="0"/>
        <w:ind w:left="360"/>
        <w:rPr>
          <w:color w:val="000000"/>
          <w:u w:color="000000"/>
        </w:rPr>
      </w:pPr>
      <w:r>
        <w:rPr>
          <w:color w:val="000000"/>
          <w:u w:color="000000"/>
        </w:rPr>
        <w:t>3. Approval of Agenda: Approved</w:t>
      </w:r>
    </w:p>
    <w:p w14:paraId="265A2D70" w14:textId="77777777" w:rsidR="005B5ABF" w:rsidRDefault="00DB686F">
      <w:pPr>
        <w:pStyle w:val="ListParagraph"/>
        <w:spacing w:before="0" w:after="0"/>
        <w:ind w:left="360"/>
        <w:rPr>
          <w:color w:val="000000"/>
          <w:u w:color="000000"/>
        </w:rPr>
      </w:pPr>
      <w:r>
        <w:rPr>
          <w:color w:val="000000"/>
          <w:u w:color="000000"/>
        </w:rPr>
        <w:t>4. Approval of Minutes: Approved</w:t>
      </w:r>
    </w:p>
    <w:p w14:paraId="6C8DF53B" w14:textId="77777777" w:rsidR="005B5ABF" w:rsidRDefault="00DB686F">
      <w:pPr>
        <w:pStyle w:val="ListParagraph"/>
        <w:spacing w:before="0" w:after="0"/>
        <w:ind w:left="360"/>
        <w:rPr>
          <w:color w:val="000000"/>
          <w:u w:color="000000"/>
        </w:rPr>
      </w:pPr>
      <w:r>
        <w:rPr>
          <w:color w:val="000000"/>
          <w:u w:color="000000"/>
        </w:rPr>
        <w:t xml:space="preserve">5. Introduction of Guests: Craig Davis, Vivian Dillon, Tracey Hodge, Teresa </w:t>
      </w:r>
      <w:proofErr w:type="spellStart"/>
      <w:r>
        <w:rPr>
          <w:color w:val="000000"/>
          <w:u w:color="000000"/>
        </w:rPr>
        <w:t>Aldredge</w:t>
      </w:r>
      <w:proofErr w:type="spellEnd"/>
    </w:p>
    <w:p w14:paraId="1D05C695" w14:textId="77777777" w:rsidR="005B5ABF" w:rsidRDefault="00DB686F">
      <w:pPr>
        <w:pStyle w:val="ListParagraph"/>
        <w:spacing w:before="0" w:after="0"/>
        <w:ind w:left="360"/>
        <w:rPr>
          <w:color w:val="000000"/>
          <w:u w:color="000000"/>
        </w:rPr>
      </w:pPr>
      <w:r>
        <w:rPr>
          <w:color w:val="000000"/>
          <w:u w:color="000000"/>
        </w:rPr>
        <w:t xml:space="preserve">6. </w:t>
      </w:r>
      <w:r>
        <w:rPr>
          <w:b/>
          <w:bCs/>
          <w:color w:val="000000"/>
          <w:u w:color="000000"/>
        </w:rPr>
        <w:t xml:space="preserve">Public Comment Period </w:t>
      </w:r>
      <w:r>
        <w:rPr>
          <w:color w:val="000000"/>
          <w:u w:color="000000"/>
        </w:rPr>
        <w:t>(up to 3 minutes per speaker)</w:t>
      </w:r>
    </w:p>
    <w:p w14:paraId="019FF635" w14:textId="77777777" w:rsidR="005B5ABF" w:rsidRDefault="005B5ABF">
      <w:pPr>
        <w:pStyle w:val="ListParagraph"/>
        <w:spacing w:before="0" w:after="0"/>
        <w:ind w:left="360"/>
        <w:rPr>
          <w:color w:val="000000"/>
          <w:u w:color="000000"/>
        </w:rPr>
      </w:pPr>
    </w:p>
    <w:p w14:paraId="70B50BF1" w14:textId="6C9CDA27" w:rsidR="005B5ABF" w:rsidRDefault="00DB686F">
      <w:pPr>
        <w:pStyle w:val="ListParagraph"/>
        <w:spacing w:before="0" w:after="0"/>
        <w:ind w:left="360"/>
        <w:rPr>
          <w:color w:val="000000"/>
          <w:u w:color="000000"/>
        </w:rPr>
      </w:pPr>
      <w:r>
        <w:rPr>
          <w:color w:val="000000"/>
          <w:u w:color="000000"/>
        </w:rPr>
        <w:t xml:space="preserve">Desire expressed that </w:t>
      </w:r>
      <w:r w:rsidR="00AB4B23">
        <w:rPr>
          <w:color w:val="000000"/>
          <w:u w:color="000000"/>
        </w:rPr>
        <w:t xml:space="preserve">the </w:t>
      </w:r>
      <w:r>
        <w:rPr>
          <w:color w:val="000000"/>
          <w:u w:color="000000"/>
        </w:rPr>
        <w:t>questions on student evaluations of faculty be reevaluated.</w:t>
      </w:r>
    </w:p>
    <w:p w14:paraId="6C9821B2" w14:textId="77777777" w:rsidR="005B5ABF" w:rsidRDefault="005B5ABF">
      <w:pPr>
        <w:pStyle w:val="ListParagraph"/>
        <w:spacing w:before="0" w:after="0"/>
        <w:ind w:left="360"/>
        <w:rPr>
          <w:color w:val="000000"/>
          <w:u w:color="000000"/>
        </w:rPr>
      </w:pPr>
    </w:p>
    <w:p w14:paraId="2351ACDE" w14:textId="77777777" w:rsidR="005B5ABF" w:rsidRDefault="00DB686F">
      <w:pPr>
        <w:pStyle w:val="ListParagraph"/>
        <w:spacing w:before="0" w:after="0"/>
        <w:ind w:left="360"/>
        <w:rPr>
          <w:color w:val="000000"/>
          <w:u w:color="000000"/>
        </w:rPr>
      </w:pPr>
      <w:r>
        <w:rPr>
          <w:color w:val="000000"/>
          <w:u w:color="000000"/>
        </w:rPr>
        <w:t>Interest expressed in senate and LRCFT working together on student evaluation questions.</w:t>
      </w:r>
    </w:p>
    <w:p w14:paraId="0F61763A" w14:textId="77777777" w:rsidR="005B5ABF" w:rsidRDefault="005B5ABF">
      <w:pPr>
        <w:pStyle w:val="ListParagraph"/>
        <w:spacing w:before="0" w:after="0"/>
        <w:ind w:left="360"/>
        <w:rPr>
          <w:color w:val="000000"/>
          <w:u w:color="000000"/>
        </w:rPr>
      </w:pPr>
    </w:p>
    <w:p w14:paraId="29013DAD" w14:textId="77777777" w:rsidR="005B5ABF" w:rsidRDefault="00DB686F">
      <w:pPr>
        <w:pStyle w:val="ListParagraph"/>
        <w:spacing w:before="0" w:after="0"/>
        <w:ind w:left="360"/>
        <w:rPr>
          <w:color w:val="000000"/>
          <w:u w:color="000000"/>
        </w:rPr>
      </w:pPr>
      <w:r>
        <w:rPr>
          <w:color w:val="000000"/>
          <w:u w:color="000000"/>
        </w:rPr>
        <w:t>7. DAS President’s Report</w:t>
      </w:r>
    </w:p>
    <w:p w14:paraId="2FA7EEF0" w14:textId="77777777" w:rsidR="005B5ABF" w:rsidRDefault="005B5ABF">
      <w:pPr>
        <w:pStyle w:val="ListParagraph"/>
        <w:spacing w:before="0" w:after="0"/>
        <w:ind w:left="360"/>
        <w:rPr>
          <w:color w:val="000000"/>
          <w:u w:color="000000"/>
        </w:rPr>
      </w:pPr>
    </w:p>
    <w:p w14:paraId="588645E7" w14:textId="77777777" w:rsidR="005B5ABF" w:rsidRDefault="00DB686F">
      <w:pPr>
        <w:pStyle w:val="ListParagraph"/>
        <w:spacing w:before="0" w:after="0"/>
        <w:ind w:left="360"/>
        <w:rPr>
          <w:color w:val="000000"/>
          <w:u w:color="000000"/>
        </w:rPr>
      </w:pPr>
      <w:r>
        <w:rPr>
          <w:color w:val="000000"/>
          <w:u w:color="000000"/>
        </w:rPr>
        <w:t>Class size task group needs additional time but will be bringing a report to DAS early in fall.</w:t>
      </w:r>
    </w:p>
    <w:p w14:paraId="32348B28" w14:textId="77777777" w:rsidR="005B5ABF" w:rsidRDefault="005B5ABF">
      <w:pPr>
        <w:pStyle w:val="ListParagraph"/>
        <w:spacing w:before="0" w:after="0"/>
        <w:ind w:left="360"/>
        <w:rPr>
          <w:color w:val="000000"/>
          <w:u w:color="000000"/>
        </w:rPr>
      </w:pPr>
    </w:p>
    <w:p w14:paraId="259663B3" w14:textId="2E54F3B1" w:rsidR="005B5ABF" w:rsidRPr="00725213" w:rsidRDefault="00DB686F" w:rsidP="00725213">
      <w:pPr>
        <w:pStyle w:val="ListParagraph"/>
        <w:spacing w:before="0" w:after="0"/>
        <w:ind w:left="360"/>
        <w:rPr>
          <w:color w:val="000000"/>
          <w:u w:color="000000"/>
        </w:rPr>
      </w:pPr>
      <w:r>
        <w:rPr>
          <w:color w:val="000000"/>
          <w:u w:color="000000"/>
        </w:rPr>
        <w:t xml:space="preserve">DAS 2023-24 </w:t>
      </w:r>
      <w:hyperlink w:anchor="calendar" w:history="1">
        <w:r w:rsidRPr="00033D12">
          <w:rPr>
            <w:rStyle w:val="Hyperlink"/>
          </w:rPr>
          <w:t>meeting calendar</w:t>
        </w:r>
      </w:hyperlink>
      <w:r>
        <w:rPr>
          <w:color w:val="000000"/>
          <w:u w:color="000000"/>
        </w:rPr>
        <w:t xml:space="preserve"> &amp; modality </w:t>
      </w:r>
      <w:hyperlink r:id="rId8" w:history="1">
        <w:r w:rsidRPr="00033D12">
          <w:rPr>
            <w:rStyle w:val="Hyperlink"/>
          </w:rPr>
          <w:t>survey</w:t>
        </w:r>
      </w:hyperlink>
      <w:r>
        <w:rPr>
          <w:color w:val="000000"/>
          <w:u w:color="000000"/>
        </w:rPr>
        <w:t xml:space="preserve">. Suggested that DAS not </w:t>
      </w:r>
      <w:r w:rsidR="00AB4B23">
        <w:rPr>
          <w:color w:val="000000"/>
          <w:u w:color="000000"/>
        </w:rPr>
        <w:t xml:space="preserve">meet on </w:t>
      </w:r>
      <w:r>
        <w:rPr>
          <w:color w:val="000000"/>
          <w:u w:color="000000"/>
        </w:rPr>
        <w:t xml:space="preserve">August </w:t>
      </w:r>
      <w:r w:rsidR="00AB4B23">
        <w:rPr>
          <w:color w:val="000000"/>
          <w:u w:color="000000"/>
        </w:rPr>
        <w:t>22</w:t>
      </w:r>
      <w:r w:rsidR="00AB4B23" w:rsidRPr="00AB4B23">
        <w:rPr>
          <w:color w:val="000000"/>
          <w:u w:color="000000"/>
          <w:vertAlign w:val="superscript"/>
        </w:rPr>
        <w:t>nd</w:t>
      </w:r>
      <w:r w:rsidR="00AB4B23">
        <w:rPr>
          <w:color w:val="000000"/>
          <w:u w:color="000000"/>
        </w:rPr>
        <w:t xml:space="preserve"> </w:t>
      </w:r>
      <w:r>
        <w:rPr>
          <w:color w:val="000000"/>
          <w:u w:color="000000"/>
        </w:rPr>
        <w:t xml:space="preserve">and instead have a retreat on Friday August 25th. </w:t>
      </w:r>
      <w:r w:rsidR="00725213">
        <w:rPr>
          <w:color w:val="000000"/>
          <w:u w:color="000000"/>
        </w:rPr>
        <w:t xml:space="preserve">If a meeting is scheduled for </w:t>
      </w:r>
      <w:r w:rsidR="006C53C8">
        <w:rPr>
          <w:color w:val="000000"/>
          <w:u w:color="000000"/>
        </w:rPr>
        <w:t>August,</w:t>
      </w:r>
      <w:r w:rsidR="00725213">
        <w:rPr>
          <w:color w:val="000000"/>
          <w:u w:color="000000"/>
        </w:rPr>
        <w:t xml:space="preserve"> it may be scheduled on the 29</w:t>
      </w:r>
      <w:r w:rsidR="00725213" w:rsidRPr="00725213">
        <w:rPr>
          <w:color w:val="000000"/>
          <w:u w:color="000000"/>
          <w:vertAlign w:val="superscript"/>
        </w:rPr>
        <w:t>th</w:t>
      </w:r>
      <w:r w:rsidR="00725213">
        <w:rPr>
          <w:color w:val="000000"/>
          <w:u w:color="000000"/>
        </w:rPr>
        <w:t xml:space="preserve"> as meeting </w:t>
      </w:r>
      <w:r w:rsidR="00AB4B23">
        <w:rPr>
          <w:color w:val="000000"/>
          <w:u w:color="000000"/>
        </w:rPr>
        <w:t xml:space="preserve">on August 22 </w:t>
      </w:r>
      <w:r w:rsidR="00725213">
        <w:rPr>
          <w:color w:val="000000"/>
          <w:u w:color="000000"/>
        </w:rPr>
        <w:t>could</w:t>
      </w:r>
      <w:r w:rsidR="00AB4B23">
        <w:rPr>
          <w:color w:val="000000"/>
          <w:u w:color="000000"/>
        </w:rPr>
        <w:t xml:space="preserve"> conflict with a local senate meeting. </w:t>
      </w:r>
      <w:r>
        <w:rPr>
          <w:color w:val="000000"/>
          <w:u w:color="000000"/>
        </w:rPr>
        <w:t xml:space="preserve">Suggested that DAS president should have leeway to make </w:t>
      </w:r>
      <w:r w:rsidR="00AB4B23">
        <w:rPr>
          <w:color w:val="000000"/>
          <w:u w:color="000000"/>
        </w:rPr>
        <w:t>a</w:t>
      </w:r>
      <w:r>
        <w:rPr>
          <w:color w:val="000000"/>
          <w:u w:color="000000"/>
        </w:rPr>
        <w:t xml:space="preserve"> decision </w:t>
      </w:r>
      <w:r w:rsidR="00AB4B23">
        <w:rPr>
          <w:color w:val="000000"/>
          <w:u w:color="000000"/>
        </w:rPr>
        <w:t xml:space="preserve">about whether to meet in August </w:t>
      </w:r>
      <w:r>
        <w:rPr>
          <w:color w:val="000000"/>
          <w:u w:color="000000"/>
        </w:rPr>
        <w:t xml:space="preserve">as we get closer to that time. </w:t>
      </w:r>
    </w:p>
    <w:p w14:paraId="157B7DE1" w14:textId="77777777" w:rsidR="005B5ABF" w:rsidRDefault="005B5ABF">
      <w:pPr>
        <w:pStyle w:val="Body"/>
        <w:spacing w:before="0" w:after="0"/>
        <w:rPr>
          <w:color w:val="000000"/>
          <w:u w:color="000000"/>
        </w:rPr>
      </w:pPr>
    </w:p>
    <w:p w14:paraId="3D98EEE4" w14:textId="77777777" w:rsidR="005B5ABF" w:rsidRDefault="00DB686F">
      <w:pPr>
        <w:pStyle w:val="Heading2"/>
        <w:spacing w:before="0" w:after="0"/>
        <w:rPr>
          <w:b w:val="0"/>
          <w:bCs w:val="0"/>
          <w:sz w:val="20"/>
          <w:szCs w:val="20"/>
        </w:rPr>
      </w:pPr>
      <w:r>
        <w:t xml:space="preserve">Consent Items </w:t>
      </w:r>
      <w:r>
        <w:rPr>
          <w:b w:val="0"/>
          <w:bCs w:val="0"/>
          <w:sz w:val="20"/>
          <w:szCs w:val="20"/>
        </w:rPr>
        <w:t xml:space="preserve">(Any member of the DAS may request an item be removed for further discussion and separate action.) </w:t>
      </w:r>
    </w:p>
    <w:p w14:paraId="2F11659D" w14:textId="77777777" w:rsidR="005B5ABF" w:rsidRDefault="00DB686F">
      <w:pPr>
        <w:pStyle w:val="ListParagraph"/>
        <w:numPr>
          <w:ilvl w:val="0"/>
          <w:numId w:val="3"/>
        </w:numPr>
      </w:pPr>
      <w:r>
        <w:t>Approval of remote attendees: Approved by consent</w:t>
      </w:r>
    </w:p>
    <w:p w14:paraId="49740822" w14:textId="77777777" w:rsidR="005B5ABF" w:rsidRDefault="00DB686F">
      <w:pPr>
        <w:pStyle w:val="Heading2"/>
        <w:spacing w:before="0" w:after="0"/>
        <w:rPr>
          <w:b w:val="0"/>
          <w:bCs w:val="0"/>
          <w:sz w:val="22"/>
          <w:szCs w:val="22"/>
        </w:rPr>
      </w:pPr>
      <w:r>
        <w:t xml:space="preserve">Decisions </w:t>
      </w:r>
      <w:r>
        <w:rPr>
          <w:b w:val="0"/>
          <w:bCs w:val="0"/>
          <w:sz w:val="22"/>
          <w:szCs w:val="22"/>
        </w:rPr>
        <w:t>(10-15 minutes per item)</w:t>
      </w:r>
    </w:p>
    <w:p w14:paraId="0368E0DD" w14:textId="77777777" w:rsidR="005B5ABF" w:rsidRDefault="00DB686F">
      <w:pPr>
        <w:pStyle w:val="Body"/>
        <w:rPr>
          <w:i/>
          <w:iCs/>
        </w:rPr>
      </w:pPr>
      <w:r>
        <w:rPr>
          <w:sz w:val="24"/>
          <w:szCs w:val="24"/>
        </w:rPr>
        <w:t xml:space="preserve">      9. </w:t>
      </w:r>
      <w:r>
        <w:rPr>
          <w:color w:val="000000"/>
          <w:sz w:val="24"/>
          <w:szCs w:val="24"/>
          <w:u w:color="000000"/>
        </w:rPr>
        <w:t xml:space="preserve">DAS Recommendation for PREP Coordinator/Counselor tenure track critical hire </w:t>
      </w:r>
      <w:r>
        <w:rPr>
          <w:i/>
          <w:iCs/>
        </w:rPr>
        <w:t>(Second Reading)</w:t>
      </w:r>
    </w:p>
    <w:p w14:paraId="69872FF6" w14:textId="77777777" w:rsidR="005B5ABF" w:rsidRDefault="00DB686F">
      <w:pPr>
        <w:pStyle w:val="Body"/>
      </w:pPr>
      <w:r>
        <w:t>Making a recommendation before summer would be advantageous. Otherwise, District may pursue hiring someone not in a tenure track position.</w:t>
      </w:r>
    </w:p>
    <w:p w14:paraId="0247DA9F" w14:textId="77777777" w:rsidR="005B5ABF" w:rsidRDefault="00DB686F">
      <w:pPr>
        <w:pStyle w:val="Body"/>
      </w:pPr>
      <w:r>
        <w:t>Reported that students have been continuing to ask if they will be getting access to a counselor.</w:t>
      </w:r>
    </w:p>
    <w:p w14:paraId="199AA89B" w14:textId="77777777" w:rsidR="005B5ABF" w:rsidRDefault="00DB686F">
      <w:pPr>
        <w:pStyle w:val="Body"/>
      </w:pPr>
      <w:r>
        <w:t xml:space="preserve">Enthusiasm expressed for making this a DAS recommendation, as this would require the </w:t>
      </w:r>
      <w:proofErr w:type="gramStart"/>
      <w:r>
        <w:t>District</w:t>
      </w:r>
      <w:proofErr w:type="gramEnd"/>
      <w:r>
        <w:t xml:space="preserve"> to explain if they choose to deviate from this recommendation.</w:t>
      </w:r>
    </w:p>
    <w:p w14:paraId="5D43078B" w14:textId="6A66F116" w:rsidR="005B5ABF" w:rsidRDefault="00DB686F">
      <w:pPr>
        <w:pStyle w:val="Body"/>
      </w:pPr>
      <w:r>
        <w:t>Approved unanimously</w:t>
      </w:r>
      <w:r w:rsidR="00033D12">
        <w:t xml:space="preserve"> by roll call vote.</w:t>
      </w:r>
    </w:p>
    <w:p w14:paraId="0A3BCBA3" w14:textId="718616EE" w:rsidR="00033D12" w:rsidRDefault="00033D12">
      <w:pPr>
        <w:pStyle w:val="Body"/>
        <w:rPr>
          <w:i/>
          <w:iCs/>
        </w:rPr>
      </w:pPr>
      <w:r>
        <w:t xml:space="preserve">Yes: </w:t>
      </w:r>
      <w:r w:rsidR="00725213">
        <w:t>Carina Hoffpauir, Brian Knirk, Veronica Lopez, Jacob Velasquez, Lisa-Marie Mederos, Eric Wada, Danielle Beck, Lisa Danner, Paula Cardwell, Sandra Guzman, Dawna DeMartini, Amy Strimling, Lori Petite.</w:t>
      </w:r>
    </w:p>
    <w:p w14:paraId="6F854A0B" w14:textId="77777777" w:rsidR="005B5ABF" w:rsidRDefault="00DB686F">
      <w:pPr>
        <w:pStyle w:val="Body"/>
        <w:spacing w:before="0" w:after="0"/>
        <w:rPr>
          <w:rStyle w:val="None"/>
          <w:i/>
          <w:iCs/>
          <w:color w:val="000000"/>
          <w:u w:color="000000"/>
        </w:rPr>
      </w:pPr>
      <w:r>
        <w:rPr>
          <w:sz w:val="24"/>
          <w:szCs w:val="24"/>
        </w:rPr>
        <w:t xml:space="preserve">     10. Revisions to </w:t>
      </w:r>
      <w:hyperlink r:id="rId9" w:anchor="bookmark=id.p76hco4eu7" w:history="1">
        <w:r>
          <w:rPr>
            <w:rStyle w:val="Hyperlink1"/>
          </w:rPr>
          <w:t>P-2211</w:t>
        </w:r>
      </w:hyperlink>
      <w:r>
        <w:rPr>
          <w:rStyle w:val="None"/>
          <w:color w:val="666666"/>
          <w:sz w:val="24"/>
          <w:szCs w:val="24"/>
          <w:u w:color="666666"/>
        </w:rPr>
        <w:t xml:space="preserve">, </w:t>
      </w:r>
      <w:hyperlink r:id="rId10" w:anchor="bookmark=id.12uctyaoguq2" w:history="1">
        <w:r>
          <w:rPr>
            <w:rStyle w:val="Hyperlink1"/>
          </w:rPr>
          <w:t>R-2211</w:t>
        </w:r>
      </w:hyperlink>
      <w:r>
        <w:rPr>
          <w:rStyle w:val="None"/>
          <w:color w:val="666666"/>
          <w:sz w:val="24"/>
          <w:szCs w:val="24"/>
          <w:u w:color="666666"/>
        </w:rPr>
        <w:t xml:space="preserve">, </w:t>
      </w:r>
      <w:hyperlink r:id="rId11" w:anchor="bookmark=id.dnd6gz735sv2" w:history="1">
        <w:r>
          <w:rPr>
            <w:rStyle w:val="Hyperlink1"/>
          </w:rPr>
          <w:t>P-2242</w:t>
        </w:r>
      </w:hyperlink>
      <w:r>
        <w:rPr>
          <w:rStyle w:val="None"/>
          <w:color w:val="666666"/>
          <w:sz w:val="24"/>
          <w:szCs w:val="24"/>
          <w:u w:color="666666"/>
        </w:rPr>
        <w:t xml:space="preserve">, </w:t>
      </w:r>
      <w:hyperlink r:id="rId12" w:anchor="bookmark=id.clqc693y4dt9" w:history="1">
        <w:r>
          <w:rPr>
            <w:rStyle w:val="Hyperlink1"/>
          </w:rPr>
          <w:t>P-2523</w:t>
        </w:r>
      </w:hyperlink>
      <w:r>
        <w:rPr>
          <w:rStyle w:val="None"/>
          <w:color w:val="666666"/>
          <w:sz w:val="24"/>
          <w:szCs w:val="24"/>
          <w:u w:color="666666"/>
        </w:rPr>
        <w:t xml:space="preserve">, </w:t>
      </w:r>
      <w:hyperlink r:id="rId13" w:anchor="bookmark=id.x95k03d9nwyn" w:history="1">
        <w:r>
          <w:rPr>
            <w:rStyle w:val="Hyperlink1"/>
          </w:rPr>
          <w:t>P-2254</w:t>
        </w:r>
      </w:hyperlink>
      <w:r>
        <w:rPr>
          <w:rStyle w:val="None"/>
          <w:color w:val="666666"/>
          <w:sz w:val="24"/>
          <w:szCs w:val="24"/>
          <w:u w:color="666666"/>
        </w:rPr>
        <w:t xml:space="preserve">, </w:t>
      </w:r>
      <w:hyperlink r:id="rId14" w:anchor="bookmark=id.x8lhp0r2gt5r" w:history="1">
        <w:r>
          <w:rPr>
            <w:rStyle w:val="Hyperlink1"/>
          </w:rPr>
          <w:t>R-2821</w:t>
        </w:r>
      </w:hyperlink>
      <w:r>
        <w:rPr>
          <w:rStyle w:val="None"/>
          <w:color w:val="666666"/>
          <w:sz w:val="24"/>
          <w:szCs w:val="24"/>
          <w:u w:color="666666"/>
        </w:rPr>
        <w:t xml:space="preserve"> </w:t>
      </w:r>
      <w:r>
        <w:rPr>
          <w:rStyle w:val="None"/>
          <w:i/>
          <w:iCs/>
          <w:color w:val="000000"/>
          <w:u w:color="000000"/>
        </w:rPr>
        <w:t>(Second Reading)</w:t>
      </w:r>
    </w:p>
    <w:p w14:paraId="67766D13" w14:textId="77777777" w:rsidR="005B5ABF" w:rsidRDefault="005B5ABF">
      <w:pPr>
        <w:pStyle w:val="Body"/>
        <w:spacing w:before="0" w:after="0"/>
        <w:rPr>
          <w:rStyle w:val="None"/>
          <w:i/>
          <w:iCs/>
          <w:color w:val="000000"/>
          <w:u w:color="000000"/>
        </w:rPr>
      </w:pPr>
    </w:p>
    <w:p w14:paraId="45434D17" w14:textId="77777777" w:rsidR="005B5ABF" w:rsidRDefault="00DB686F">
      <w:pPr>
        <w:pStyle w:val="Body"/>
        <w:spacing w:before="0" w:after="0"/>
        <w:rPr>
          <w:rStyle w:val="None"/>
          <w:i/>
          <w:iCs/>
          <w:color w:val="000000"/>
          <w:u w:color="000000"/>
        </w:rPr>
      </w:pPr>
      <w:r>
        <w:rPr>
          <w:rStyle w:val="None"/>
          <w:color w:val="000000"/>
          <w:u w:color="000000"/>
        </w:rPr>
        <w:t xml:space="preserve">Reported that at ARC and SCC, all were approved by consent. At FLC, there was no feedback. More time needed at CRC to seek feedback. This item will be revisited at the next meeting. </w:t>
      </w:r>
    </w:p>
    <w:p w14:paraId="41F1475E" w14:textId="77777777" w:rsidR="005B5ABF" w:rsidRDefault="005B5ABF">
      <w:pPr>
        <w:pStyle w:val="Body"/>
        <w:spacing w:before="0" w:after="0"/>
      </w:pPr>
    </w:p>
    <w:p w14:paraId="604BBD15" w14:textId="77777777" w:rsidR="005B5ABF" w:rsidRDefault="00DB686F">
      <w:pPr>
        <w:pStyle w:val="NormalWeb"/>
        <w:spacing w:before="0" w:after="0"/>
        <w:rPr>
          <w:rStyle w:val="None"/>
          <w:i/>
          <w:iCs/>
        </w:rPr>
      </w:pPr>
      <w:r>
        <w:rPr>
          <w:rStyle w:val="None"/>
        </w:rPr>
        <w:lastRenderedPageBreak/>
        <w:t xml:space="preserve">     11. Revisions to </w:t>
      </w:r>
      <w:hyperlink r:id="rId15" w:history="1">
        <w:r>
          <w:rPr>
            <w:rStyle w:val="Link"/>
          </w:rPr>
          <w:t>R-3412</w:t>
        </w:r>
      </w:hyperlink>
      <w:r>
        <w:rPr>
          <w:rStyle w:val="None"/>
        </w:rPr>
        <w:t xml:space="preserve">  on Participatory Governance/Academic Senate </w:t>
      </w:r>
      <w:r>
        <w:rPr>
          <w:rStyle w:val="None"/>
          <w:i/>
          <w:iCs/>
        </w:rPr>
        <w:t>(Second Reading)</w:t>
      </w:r>
    </w:p>
    <w:p w14:paraId="54A1C9F6" w14:textId="77777777" w:rsidR="005B5ABF" w:rsidRDefault="005B5ABF">
      <w:pPr>
        <w:pStyle w:val="NormalWeb"/>
        <w:spacing w:before="0" w:after="0"/>
        <w:rPr>
          <w:rStyle w:val="None"/>
          <w:i/>
          <w:iCs/>
        </w:rPr>
      </w:pPr>
    </w:p>
    <w:p w14:paraId="389D5038" w14:textId="679774ED" w:rsidR="005B5ABF" w:rsidRDefault="00DB686F">
      <w:pPr>
        <w:pStyle w:val="NormalWeb"/>
        <w:spacing w:before="0" w:after="0"/>
        <w:rPr>
          <w:sz w:val="22"/>
          <w:szCs w:val="22"/>
        </w:rPr>
      </w:pPr>
      <w:r w:rsidRPr="00725213">
        <w:rPr>
          <w:sz w:val="22"/>
          <w:szCs w:val="22"/>
        </w:rPr>
        <w:t xml:space="preserve">This would be to recommend that these changes go to general counsel to go to Chancellor’s Cabinet. </w:t>
      </w:r>
    </w:p>
    <w:p w14:paraId="386D9B57" w14:textId="77777777" w:rsidR="00725213" w:rsidRPr="00725213" w:rsidRDefault="00725213">
      <w:pPr>
        <w:pStyle w:val="NormalWeb"/>
        <w:spacing w:before="0" w:after="0"/>
        <w:rPr>
          <w:sz w:val="22"/>
          <w:szCs w:val="22"/>
        </w:rPr>
      </w:pPr>
    </w:p>
    <w:p w14:paraId="061B5096" w14:textId="77777777" w:rsidR="005B5ABF" w:rsidRPr="00725213" w:rsidRDefault="00DB686F">
      <w:pPr>
        <w:pStyle w:val="NormalWeb"/>
        <w:spacing w:before="0" w:after="0"/>
        <w:rPr>
          <w:sz w:val="22"/>
          <w:szCs w:val="22"/>
        </w:rPr>
      </w:pPr>
      <w:r w:rsidRPr="00725213">
        <w:rPr>
          <w:sz w:val="22"/>
          <w:szCs w:val="22"/>
        </w:rPr>
        <w:t>ARC and SCC approved by consent. No feedback at FLC. Not discussed at CRC.</w:t>
      </w:r>
    </w:p>
    <w:p w14:paraId="60EF2E9B" w14:textId="77777777" w:rsidR="005B5ABF" w:rsidRPr="00725213" w:rsidRDefault="005B5ABF">
      <w:pPr>
        <w:pStyle w:val="NormalWeb"/>
        <w:spacing w:before="0" w:after="0"/>
        <w:rPr>
          <w:sz w:val="22"/>
          <w:szCs w:val="22"/>
        </w:rPr>
      </w:pPr>
    </w:p>
    <w:p w14:paraId="608086CB" w14:textId="4F78A44D" w:rsidR="00725213" w:rsidRDefault="00DB686F">
      <w:pPr>
        <w:pStyle w:val="NormalWeb"/>
        <w:spacing w:before="0" w:after="0"/>
        <w:rPr>
          <w:sz w:val="22"/>
          <w:szCs w:val="22"/>
        </w:rPr>
      </w:pPr>
      <w:r w:rsidRPr="00725213">
        <w:rPr>
          <w:sz w:val="22"/>
          <w:szCs w:val="22"/>
        </w:rPr>
        <w:t>Approved unanimously</w:t>
      </w:r>
      <w:r w:rsidR="00725213">
        <w:rPr>
          <w:sz w:val="22"/>
          <w:szCs w:val="22"/>
        </w:rPr>
        <w:t xml:space="preserve"> by roll call vote.</w:t>
      </w:r>
    </w:p>
    <w:p w14:paraId="58118101" w14:textId="653C2587" w:rsidR="005B5ABF" w:rsidRPr="00725213" w:rsidRDefault="00725213" w:rsidP="00725213">
      <w:pPr>
        <w:pStyle w:val="Body"/>
        <w:rPr>
          <w:rStyle w:val="None"/>
          <w:i/>
          <w:iCs/>
        </w:rPr>
      </w:pPr>
      <w:r>
        <w:t>Yes: Carina Hoffpauir, Brian Knirk, Veronica Lopez, Jacob Velasquez, Lisa-Marie Mederos, Eric Wada, Danielle Beck, Lisa Danner, Paula Cardwell, Sandra Guzman, Dawna DeMartini, Amy Strimling, Lori Petite.</w:t>
      </w:r>
    </w:p>
    <w:p w14:paraId="328EF7E1" w14:textId="77777777" w:rsidR="005B5ABF" w:rsidRDefault="00DB686F">
      <w:pPr>
        <w:pStyle w:val="NormalWeb"/>
        <w:spacing w:before="0" w:after="0"/>
        <w:rPr>
          <w:rStyle w:val="None"/>
          <w:i/>
          <w:iCs/>
          <w:color w:val="000000"/>
          <w:sz w:val="22"/>
          <w:szCs w:val="22"/>
          <w:u w:color="000000"/>
        </w:rPr>
      </w:pPr>
      <w:r>
        <w:rPr>
          <w:rStyle w:val="None"/>
          <w:color w:val="000000"/>
          <w:sz w:val="22"/>
          <w:szCs w:val="22"/>
          <w:u w:color="000000"/>
        </w:rPr>
        <w:t xml:space="preserve">     </w:t>
      </w:r>
      <w:r>
        <w:rPr>
          <w:rStyle w:val="None"/>
          <w:color w:val="000000"/>
          <w:u w:color="000000"/>
        </w:rPr>
        <w:t>12.</w:t>
      </w:r>
      <w:r>
        <w:rPr>
          <w:rStyle w:val="None"/>
          <w:color w:val="000000"/>
          <w:sz w:val="22"/>
          <w:szCs w:val="22"/>
          <w:u w:color="000000"/>
        </w:rPr>
        <w:t xml:space="preserve"> </w:t>
      </w:r>
      <w:r>
        <w:rPr>
          <w:rStyle w:val="None"/>
          <w:color w:val="000000"/>
          <w:u w:color="000000"/>
        </w:rPr>
        <w:t xml:space="preserve">Adoption of District Ethnic Studies Council Resolution: </w:t>
      </w:r>
      <w:hyperlink r:id="rId16" w:history="1">
        <w:r>
          <w:rPr>
            <w:rStyle w:val="Hyperlink2"/>
          </w:rPr>
          <w:t>Prioritize Ethnic Studies Hires in the Los Rios District</w:t>
        </w:r>
      </w:hyperlink>
      <w:r>
        <w:rPr>
          <w:rStyle w:val="None"/>
          <w:color w:val="000000"/>
          <w:sz w:val="22"/>
          <w:szCs w:val="22"/>
          <w:u w:color="000000"/>
        </w:rPr>
        <w:t xml:space="preserve"> </w:t>
      </w:r>
      <w:r>
        <w:rPr>
          <w:rStyle w:val="None"/>
          <w:i/>
          <w:iCs/>
          <w:color w:val="000000"/>
          <w:sz w:val="22"/>
          <w:szCs w:val="22"/>
          <w:u w:color="000000"/>
        </w:rPr>
        <w:t>(Second Reading)</w:t>
      </w:r>
    </w:p>
    <w:p w14:paraId="31C83786" w14:textId="77777777" w:rsidR="005B5ABF" w:rsidRDefault="005B5ABF">
      <w:pPr>
        <w:pStyle w:val="NormalWeb"/>
        <w:spacing w:before="0" w:after="0"/>
        <w:rPr>
          <w:rStyle w:val="None"/>
          <w:i/>
          <w:iCs/>
          <w:color w:val="000000"/>
          <w:sz w:val="22"/>
          <w:szCs w:val="22"/>
          <w:u w:color="000000"/>
        </w:rPr>
      </w:pPr>
    </w:p>
    <w:p w14:paraId="6906DFC7" w14:textId="77777777" w:rsidR="005B5ABF" w:rsidRDefault="00DB686F">
      <w:pPr>
        <w:pStyle w:val="NormalWeb"/>
        <w:spacing w:before="0" w:after="0"/>
        <w:rPr>
          <w:rStyle w:val="None"/>
          <w:color w:val="000000"/>
          <w:sz w:val="22"/>
          <w:szCs w:val="22"/>
          <w:u w:color="000000"/>
        </w:rPr>
      </w:pPr>
      <w:r>
        <w:rPr>
          <w:rStyle w:val="None"/>
          <w:color w:val="000000"/>
          <w:sz w:val="22"/>
          <w:szCs w:val="22"/>
          <w:u w:color="000000"/>
        </w:rPr>
        <w:t>If adopted by DAS, the resolution would be shared at local senates with a recommendation from DAS.</w:t>
      </w:r>
    </w:p>
    <w:p w14:paraId="47C3B5CD" w14:textId="77777777" w:rsidR="005B5ABF" w:rsidRDefault="005B5ABF">
      <w:pPr>
        <w:pStyle w:val="NormalWeb"/>
        <w:spacing w:before="0" w:after="0"/>
        <w:rPr>
          <w:rStyle w:val="None"/>
          <w:color w:val="000000"/>
          <w:sz w:val="22"/>
          <w:szCs w:val="22"/>
          <w:u w:color="000000"/>
        </w:rPr>
      </w:pPr>
    </w:p>
    <w:p w14:paraId="3A225184" w14:textId="77777777" w:rsidR="005B5ABF" w:rsidRDefault="00DB686F">
      <w:pPr>
        <w:pStyle w:val="NormalWeb"/>
        <w:spacing w:before="0" w:after="0"/>
        <w:rPr>
          <w:rStyle w:val="None"/>
          <w:color w:val="000000"/>
          <w:sz w:val="22"/>
          <w:szCs w:val="22"/>
          <w:u w:color="000000"/>
        </w:rPr>
      </w:pPr>
      <w:r>
        <w:rPr>
          <w:rStyle w:val="None"/>
          <w:color w:val="000000"/>
          <w:sz w:val="22"/>
          <w:szCs w:val="22"/>
          <w:u w:color="000000"/>
        </w:rPr>
        <w:t>Language in the resolution changed to recommend “highest possible level of support.”</w:t>
      </w:r>
    </w:p>
    <w:p w14:paraId="519DF8D6" w14:textId="77777777" w:rsidR="005B5ABF" w:rsidRDefault="005B5ABF">
      <w:pPr>
        <w:pStyle w:val="NormalWeb"/>
        <w:spacing w:before="0" w:after="0"/>
        <w:rPr>
          <w:rStyle w:val="None"/>
          <w:color w:val="000000"/>
          <w:sz w:val="22"/>
          <w:szCs w:val="22"/>
          <w:u w:color="000000"/>
        </w:rPr>
      </w:pPr>
    </w:p>
    <w:p w14:paraId="34601950" w14:textId="77777777" w:rsidR="005B5ABF" w:rsidRDefault="00DB686F">
      <w:pPr>
        <w:pStyle w:val="NormalWeb"/>
        <w:spacing w:before="0" w:after="0"/>
        <w:rPr>
          <w:rStyle w:val="None"/>
          <w:i/>
          <w:iCs/>
          <w:color w:val="000000"/>
          <w:sz w:val="22"/>
          <w:szCs w:val="22"/>
          <w:u w:color="000000"/>
        </w:rPr>
      </w:pPr>
      <w:r>
        <w:rPr>
          <w:rStyle w:val="None"/>
          <w:color w:val="000000"/>
          <w:sz w:val="22"/>
          <w:szCs w:val="22"/>
          <w:u w:color="000000"/>
        </w:rPr>
        <w:t>Suggested that we should simply ask local senates to give due consideration of the whereas statements in the resolution by changing the resolved statement to make this the ask.</w:t>
      </w:r>
    </w:p>
    <w:p w14:paraId="65B7D74B" w14:textId="77777777" w:rsidR="005B5ABF" w:rsidRDefault="005B5ABF">
      <w:pPr>
        <w:pStyle w:val="NormalWeb"/>
        <w:spacing w:before="0" w:after="0"/>
        <w:rPr>
          <w:rStyle w:val="None"/>
          <w:i/>
          <w:iCs/>
          <w:color w:val="000000"/>
          <w:sz w:val="22"/>
          <w:szCs w:val="22"/>
          <w:u w:color="000000"/>
        </w:rPr>
      </w:pPr>
    </w:p>
    <w:p w14:paraId="58CB5227" w14:textId="77777777" w:rsidR="005B5ABF" w:rsidRDefault="00DB686F">
      <w:pPr>
        <w:pStyle w:val="NormalWeb"/>
        <w:spacing w:before="0" w:after="0"/>
        <w:rPr>
          <w:color w:val="000000"/>
          <w:sz w:val="22"/>
          <w:szCs w:val="22"/>
          <w:u w:color="000000"/>
        </w:rPr>
      </w:pPr>
      <w:r>
        <w:rPr>
          <w:color w:val="000000"/>
          <w:sz w:val="22"/>
          <w:szCs w:val="22"/>
          <w:u w:color="000000"/>
        </w:rPr>
        <w:t xml:space="preserve">Clarified that while the District Ethnic Studies Council created and passed their own resolution, now DAS is working on what DAS will state. </w:t>
      </w:r>
    </w:p>
    <w:p w14:paraId="0B1B9051" w14:textId="77777777" w:rsidR="005B5ABF" w:rsidRDefault="005B5ABF">
      <w:pPr>
        <w:pStyle w:val="NormalWeb"/>
        <w:spacing w:before="0" w:after="0"/>
        <w:rPr>
          <w:color w:val="000000"/>
          <w:sz w:val="22"/>
          <w:szCs w:val="22"/>
          <w:u w:color="000000"/>
        </w:rPr>
      </w:pPr>
    </w:p>
    <w:p w14:paraId="3B7C275A" w14:textId="77777777" w:rsidR="005B5ABF" w:rsidRDefault="00DB686F">
      <w:pPr>
        <w:pStyle w:val="NormalWeb"/>
        <w:spacing w:before="0" w:after="0"/>
        <w:rPr>
          <w:color w:val="000000"/>
          <w:sz w:val="22"/>
          <w:szCs w:val="22"/>
          <w:u w:color="000000"/>
        </w:rPr>
      </w:pPr>
      <w:r>
        <w:rPr>
          <w:color w:val="000000"/>
          <w:sz w:val="22"/>
          <w:szCs w:val="22"/>
          <w:u w:color="000000"/>
        </w:rPr>
        <w:t>Noted that much of what is stated of ETHNS faculty in the resolution would be true of counselors as well. Noted that at SCC they have lost 11 FT counselors, none of which have been replaced. ETHNS has access to DAS in a way that counselors do not have. This creates a dilemma as it becomes difficult to make this case for ETHNS and not for counselors.</w:t>
      </w:r>
    </w:p>
    <w:p w14:paraId="24FE7CD1" w14:textId="77777777" w:rsidR="005B5ABF" w:rsidRDefault="005B5ABF">
      <w:pPr>
        <w:pStyle w:val="NormalWeb"/>
        <w:spacing w:before="0" w:after="0"/>
        <w:rPr>
          <w:color w:val="000000"/>
          <w:sz w:val="22"/>
          <w:szCs w:val="22"/>
          <w:u w:color="000000"/>
        </w:rPr>
      </w:pPr>
    </w:p>
    <w:p w14:paraId="52071E97" w14:textId="77777777" w:rsidR="005B5ABF" w:rsidRDefault="00DB686F">
      <w:pPr>
        <w:pStyle w:val="NormalWeb"/>
        <w:spacing w:before="0" w:after="0"/>
        <w:rPr>
          <w:color w:val="000000"/>
          <w:sz w:val="22"/>
          <w:szCs w:val="22"/>
          <w:u w:color="000000"/>
        </w:rPr>
      </w:pPr>
      <w:r>
        <w:rPr>
          <w:color w:val="000000"/>
          <w:sz w:val="22"/>
          <w:szCs w:val="22"/>
          <w:u w:color="000000"/>
        </w:rPr>
        <w:t>Noted that ETHNS is a graduation requirement. Feared that we could be turning away thousands of students by end of next year if we don’t have enough ETHNS faculty to serve students.</w:t>
      </w:r>
    </w:p>
    <w:p w14:paraId="762D5753" w14:textId="77777777" w:rsidR="005B5ABF" w:rsidRDefault="005B5ABF">
      <w:pPr>
        <w:pStyle w:val="NormalWeb"/>
        <w:spacing w:before="0" w:after="0"/>
        <w:rPr>
          <w:color w:val="000000"/>
          <w:sz w:val="22"/>
          <w:szCs w:val="22"/>
          <w:u w:color="000000"/>
        </w:rPr>
      </w:pPr>
    </w:p>
    <w:p w14:paraId="447C0E80" w14:textId="77777777" w:rsidR="005B5ABF" w:rsidRDefault="00DB686F">
      <w:pPr>
        <w:pStyle w:val="NormalWeb"/>
        <w:spacing w:before="0" w:after="0"/>
        <w:rPr>
          <w:color w:val="000000"/>
          <w:sz w:val="22"/>
          <w:szCs w:val="22"/>
          <w:u w:color="000000"/>
        </w:rPr>
      </w:pPr>
      <w:r>
        <w:rPr>
          <w:color w:val="000000"/>
          <w:sz w:val="22"/>
          <w:szCs w:val="22"/>
          <w:u w:color="000000"/>
        </w:rPr>
        <w:t>Suggested that ETHNS needs the resolution to counter the oppression against ETHNS.</w:t>
      </w:r>
    </w:p>
    <w:p w14:paraId="66452E5F" w14:textId="77777777" w:rsidR="005B5ABF" w:rsidRDefault="005B5ABF">
      <w:pPr>
        <w:pStyle w:val="NormalWeb"/>
        <w:spacing w:before="0" w:after="0"/>
        <w:rPr>
          <w:color w:val="000000"/>
          <w:sz w:val="22"/>
          <w:szCs w:val="22"/>
          <w:u w:color="000000"/>
        </w:rPr>
      </w:pPr>
    </w:p>
    <w:p w14:paraId="0710E59B" w14:textId="77777777" w:rsidR="005B5ABF" w:rsidRDefault="00DB686F">
      <w:pPr>
        <w:pStyle w:val="NormalWeb"/>
        <w:spacing w:before="0" w:after="0"/>
        <w:rPr>
          <w:color w:val="000000"/>
          <w:sz w:val="22"/>
          <w:szCs w:val="22"/>
          <w:u w:color="000000"/>
        </w:rPr>
      </w:pPr>
      <w:r>
        <w:rPr>
          <w:color w:val="000000"/>
          <w:sz w:val="22"/>
          <w:szCs w:val="22"/>
          <w:u w:color="000000"/>
        </w:rPr>
        <w:t>Concern expressed that the resolution may not have the desired outcome. Is there another way to get what we want?</w:t>
      </w:r>
    </w:p>
    <w:p w14:paraId="2E451EC9" w14:textId="77777777" w:rsidR="005B5ABF" w:rsidRDefault="005B5ABF">
      <w:pPr>
        <w:pStyle w:val="NormalWeb"/>
        <w:spacing w:before="0" w:after="0"/>
        <w:rPr>
          <w:color w:val="000000"/>
          <w:sz w:val="22"/>
          <w:szCs w:val="22"/>
          <w:u w:color="000000"/>
        </w:rPr>
      </w:pPr>
    </w:p>
    <w:p w14:paraId="2CBAD6B1" w14:textId="677DDE80" w:rsidR="005B5ABF" w:rsidRDefault="00DB686F">
      <w:pPr>
        <w:pStyle w:val="NormalWeb"/>
        <w:spacing w:before="0" w:after="0"/>
        <w:rPr>
          <w:color w:val="000000"/>
          <w:sz w:val="22"/>
          <w:szCs w:val="22"/>
          <w:u w:color="000000"/>
        </w:rPr>
      </w:pPr>
      <w:r>
        <w:rPr>
          <w:color w:val="000000"/>
          <w:sz w:val="22"/>
          <w:szCs w:val="22"/>
          <w:u w:color="000000"/>
        </w:rPr>
        <w:t xml:space="preserve">Concern about </w:t>
      </w:r>
      <w:r w:rsidR="00725213">
        <w:rPr>
          <w:color w:val="000000"/>
          <w:sz w:val="22"/>
          <w:szCs w:val="22"/>
          <w:u w:color="000000"/>
        </w:rPr>
        <w:t xml:space="preserve">the </w:t>
      </w:r>
      <w:r>
        <w:rPr>
          <w:color w:val="000000"/>
          <w:sz w:val="22"/>
          <w:szCs w:val="22"/>
          <w:u w:color="000000"/>
        </w:rPr>
        <w:t xml:space="preserve">resolve </w:t>
      </w:r>
      <w:r w:rsidR="00725213">
        <w:rPr>
          <w:color w:val="000000"/>
          <w:sz w:val="22"/>
          <w:szCs w:val="22"/>
          <w:u w:color="000000"/>
        </w:rPr>
        <w:t xml:space="preserve">statement </w:t>
      </w:r>
      <w:r>
        <w:rPr>
          <w:color w:val="000000"/>
          <w:sz w:val="22"/>
          <w:szCs w:val="22"/>
          <w:u w:color="000000"/>
        </w:rPr>
        <w:t xml:space="preserve">being misdirected. Local senates do not determine what positions will get hired. Suggested to shift the focus to District Administration. Robust funding for FT hires would give us the ETHNS hires we need. </w:t>
      </w:r>
    </w:p>
    <w:p w14:paraId="16CB1DB1" w14:textId="77777777" w:rsidR="005B5ABF" w:rsidRDefault="005B5ABF">
      <w:pPr>
        <w:pStyle w:val="NormalWeb"/>
        <w:spacing w:before="0" w:after="0"/>
        <w:rPr>
          <w:color w:val="000000"/>
          <w:sz w:val="22"/>
          <w:szCs w:val="22"/>
          <w:u w:color="000000"/>
        </w:rPr>
      </w:pPr>
    </w:p>
    <w:p w14:paraId="093EDD88" w14:textId="0B6BE5D4" w:rsidR="005B5ABF" w:rsidRDefault="00DB686F">
      <w:pPr>
        <w:pStyle w:val="NormalWeb"/>
        <w:spacing w:before="0" w:after="0"/>
        <w:rPr>
          <w:color w:val="000000"/>
          <w:sz w:val="22"/>
          <w:szCs w:val="22"/>
          <w:u w:color="000000"/>
        </w:rPr>
      </w:pPr>
      <w:r>
        <w:rPr>
          <w:color w:val="000000"/>
          <w:sz w:val="22"/>
          <w:szCs w:val="22"/>
          <w:u w:color="000000"/>
        </w:rPr>
        <w:t>Suggested that need for prioritization by local senates of ETHNS positions is a vital part of getting these positions. Perhaps a two</w:t>
      </w:r>
      <w:r w:rsidR="00725213">
        <w:rPr>
          <w:color w:val="000000"/>
          <w:sz w:val="22"/>
          <w:szCs w:val="22"/>
          <w:u w:color="000000"/>
        </w:rPr>
        <w:t>-</w:t>
      </w:r>
      <w:r>
        <w:rPr>
          <w:color w:val="000000"/>
          <w:sz w:val="22"/>
          <w:szCs w:val="22"/>
          <w:u w:color="000000"/>
        </w:rPr>
        <w:t xml:space="preserve">pronged approach which also focuses on District Administration would be helpful, but it is important for it to be prioritized by local senates. </w:t>
      </w:r>
    </w:p>
    <w:p w14:paraId="4BC54FCC" w14:textId="77777777" w:rsidR="005B5ABF" w:rsidRDefault="005B5ABF">
      <w:pPr>
        <w:pStyle w:val="NormalWeb"/>
        <w:spacing w:before="0" w:after="0"/>
        <w:rPr>
          <w:color w:val="000000"/>
          <w:sz w:val="22"/>
          <w:szCs w:val="22"/>
          <w:u w:color="000000"/>
        </w:rPr>
      </w:pPr>
    </w:p>
    <w:p w14:paraId="6B931116" w14:textId="77777777" w:rsidR="005B5ABF" w:rsidRDefault="00DB686F">
      <w:pPr>
        <w:pStyle w:val="NormalWeb"/>
        <w:spacing w:before="0" w:after="0"/>
        <w:rPr>
          <w:color w:val="000000"/>
          <w:sz w:val="22"/>
          <w:szCs w:val="22"/>
          <w:u w:color="000000"/>
        </w:rPr>
      </w:pPr>
      <w:r>
        <w:rPr>
          <w:color w:val="000000"/>
          <w:sz w:val="22"/>
          <w:szCs w:val="22"/>
          <w:u w:color="000000"/>
        </w:rPr>
        <w:t xml:space="preserve">Suggested that District’s not seeing ETHNS hires as critical hires has made it more difficult to get these hires. </w:t>
      </w:r>
    </w:p>
    <w:p w14:paraId="040359E1" w14:textId="77777777" w:rsidR="005B5ABF" w:rsidRDefault="005B5ABF">
      <w:pPr>
        <w:pStyle w:val="NormalWeb"/>
        <w:spacing w:before="0" w:after="0"/>
        <w:rPr>
          <w:color w:val="000000"/>
          <w:sz w:val="22"/>
          <w:szCs w:val="22"/>
          <w:u w:color="000000"/>
        </w:rPr>
      </w:pPr>
    </w:p>
    <w:p w14:paraId="0F9BBAF9" w14:textId="77777777" w:rsidR="005B5ABF" w:rsidRDefault="00DB686F">
      <w:pPr>
        <w:pStyle w:val="NormalWeb"/>
        <w:spacing w:before="0" w:after="0"/>
        <w:rPr>
          <w:color w:val="000000"/>
          <w:sz w:val="22"/>
          <w:szCs w:val="22"/>
          <w:u w:color="000000"/>
        </w:rPr>
      </w:pPr>
      <w:r>
        <w:rPr>
          <w:color w:val="000000"/>
          <w:sz w:val="22"/>
          <w:szCs w:val="22"/>
          <w:u w:color="000000"/>
        </w:rPr>
        <w:t>Suggested to change “associate” to “tenure-track.”</w:t>
      </w:r>
    </w:p>
    <w:p w14:paraId="646098B4" w14:textId="77777777" w:rsidR="005B5ABF" w:rsidRDefault="005B5ABF">
      <w:pPr>
        <w:pStyle w:val="NormalWeb"/>
        <w:spacing w:before="0" w:after="0"/>
        <w:rPr>
          <w:color w:val="000000"/>
          <w:sz w:val="22"/>
          <w:szCs w:val="22"/>
          <w:u w:color="000000"/>
        </w:rPr>
      </w:pPr>
    </w:p>
    <w:p w14:paraId="68CF1EB5" w14:textId="7C2D9CE5" w:rsidR="005B5ABF" w:rsidRDefault="00DB686F">
      <w:pPr>
        <w:pStyle w:val="NormalWeb"/>
        <w:spacing w:before="0" w:after="0"/>
        <w:rPr>
          <w:color w:val="000000"/>
          <w:sz w:val="22"/>
          <w:szCs w:val="22"/>
          <w:u w:color="000000"/>
        </w:rPr>
      </w:pPr>
      <w:r>
        <w:rPr>
          <w:color w:val="000000"/>
          <w:sz w:val="22"/>
          <w:szCs w:val="22"/>
          <w:u w:color="000000"/>
        </w:rPr>
        <w:lastRenderedPageBreak/>
        <w:t xml:space="preserve">Amendment proposed to strike DAS from the first resolve statement and to add a second resolve </w:t>
      </w:r>
      <w:r w:rsidR="00725213">
        <w:rPr>
          <w:color w:val="000000"/>
          <w:sz w:val="22"/>
          <w:szCs w:val="22"/>
          <w:u w:color="000000"/>
        </w:rPr>
        <w:t xml:space="preserve">statement </w:t>
      </w:r>
      <w:r>
        <w:rPr>
          <w:color w:val="000000"/>
          <w:sz w:val="22"/>
          <w:szCs w:val="22"/>
          <w:u w:color="000000"/>
        </w:rPr>
        <w:t>that urges local senates to give all due consideration of the whereas statements during the prioritization process.</w:t>
      </w:r>
    </w:p>
    <w:p w14:paraId="0221008D" w14:textId="77777777" w:rsidR="005B5ABF" w:rsidRDefault="005B5ABF">
      <w:pPr>
        <w:pStyle w:val="NormalWeb"/>
        <w:spacing w:before="0" w:after="0"/>
        <w:rPr>
          <w:color w:val="000000"/>
          <w:sz w:val="22"/>
          <w:szCs w:val="22"/>
          <w:u w:color="000000"/>
        </w:rPr>
      </w:pPr>
    </w:p>
    <w:p w14:paraId="04852331" w14:textId="5D5E6DEA" w:rsidR="005B5ABF" w:rsidRDefault="00C94845">
      <w:pPr>
        <w:pStyle w:val="NormalWeb"/>
        <w:spacing w:before="0" w:after="0"/>
        <w:rPr>
          <w:color w:val="000000"/>
          <w:sz w:val="22"/>
          <w:szCs w:val="22"/>
        </w:rPr>
      </w:pPr>
      <w:r>
        <w:rPr>
          <w:color w:val="000000"/>
          <w:sz w:val="22"/>
          <w:szCs w:val="22"/>
        </w:rPr>
        <w:t>At the last meeting, the veracity of the third whereas statement was debated. Discomfort was expressed at this meeting with the idea of passing the resolution with what some believed was inaccurate information. Suggested to change 3rd whereas statement from “all colleges” to “many colleges.”</w:t>
      </w:r>
    </w:p>
    <w:p w14:paraId="0AAB8726" w14:textId="77777777" w:rsidR="00C94845" w:rsidRDefault="00C94845">
      <w:pPr>
        <w:pStyle w:val="NormalWeb"/>
        <w:spacing w:before="0" w:after="0"/>
        <w:rPr>
          <w:color w:val="000000"/>
          <w:sz w:val="22"/>
          <w:szCs w:val="22"/>
          <w:u w:color="000000"/>
        </w:rPr>
      </w:pPr>
    </w:p>
    <w:p w14:paraId="02A3D3AA" w14:textId="77777777" w:rsidR="005B5ABF" w:rsidRDefault="00DB686F">
      <w:pPr>
        <w:pStyle w:val="NormalWeb"/>
        <w:spacing w:before="0" w:after="0"/>
        <w:rPr>
          <w:color w:val="000000"/>
          <w:sz w:val="22"/>
          <w:szCs w:val="22"/>
          <w:u w:color="000000"/>
        </w:rPr>
      </w:pPr>
      <w:r>
        <w:rPr>
          <w:color w:val="000000"/>
          <w:sz w:val="22"/>
          <w:szCs w:val="22"/>
          <w:u w:color="000000"/>
        </w:rPr>
        <w:t>Inquiry if we can get data from the district that would help inform how the third whereas should be stated.</w:t>
      </w:r>
    </w:p>
    <w:p w14:paraId="61FBD176" w14:textId="77777777" w:rsidR="005B5ABF" w:rsidRDefault="005B5ABF">
      <w:pPr>
        <w:pStyle w:val="NormalWeb"/>
        <w:spacing w:before="0" w:after="0"/>
        <w:rPr>
          <w:color w:val="000000"/>
          <w:sz w:val="22"/>
          <w:szCs w:val="22"/>
          <w:u w:color="000000"/>
        </w:rPr>
      </w:pPr>
    </w:p>
    <w:p w14:paraId="149F7842" w14:textId="77777777" w:rsidR="005B5ABF" w:rsidRDefault="00DB686F">
      <w:pPr>
        <w:pStyle w:val="NormalWeb"/>
        <w:spacing w:before="0" w:after="0"/>
        <w:rPr>
          <w:color w:val="000000"/>
          <w:sz w:val="22"/>
          <w:szCs w:val="22"/>
          <w:u w:color="000000"/>
        </w:rPr>
      </w:pPr>
      <w:r>
        <w:rPr>
          <w:color w:val="000000"/>
          <w:sz w:val="22"/>
          <w:szCs w:val="22"/>
          <w:u w:color="000000"/>
        </w:rPr>
        <w:t>Asked that DAS keep in mind that current ETHNS data may not be predictive since it is not yet a transfer requirement.</w:t>
      </w:r>
    </w:p>
    <w:p w14:paraId="44D54508" w14:textId="77777777" w:rsidR="005B5ABF" w:rsidRDefault="005B5ABF">
      <w:pPr>
        <w:pStyle w:val="NormalWeb"/>
        <w:spacing w:before="0" w:after="0"/>
        <w:rPr>
          <w:color w:val="000000"/>
          <w:sz w:val="22"/>
          <w:szCs w:val="22"/>
          <w:u w:color="000000"/>
        </w:rPr>
      </w:pPr>
    </w:p>
    <w:p w14:paraId="44C62191" w14:textId="3A43D1F3" w:rsidR="005B5ABF" w:rsidRDefault="00DB686F">
      <w:pPr>
        <w:pStyle w:val="NormalWeb"/>
        <w:spacing w:before="0" w:after="0"/>
        <w:rPr>
          <w:color w:val="000000"/>
          <w:sz w:val="22"/>
          <w:szCs w:val="22"/>
          <w:u w:color="000000"/>
        </w:rPr>
      </w:pPr>
      <w:r>
        <w:rPr>
          <w:color w:val="000000"/>
          <w:sz w:val="22"/>
          <w:szCs w:val="22"/>
          <w:u w:color="000000"/>
        </w:rPr>
        <w:t xml:space="preserve">Suggested that the 3rd whereas </w:t>
      </w:r>
      <w:r w:rsidR="00725213">
        <w:rPr>
          <w:color w:val="000000"/>
          <w:sz w:val="22"/>
          <w:szCs w:val="22"/>
          <w:u w:color="000000"/>
        </w:rPr>
        <w:t xml:space="preserve">statement </w:t>
      </w:r>
      <w:r>
        <w:rPr>
          <w:color w:val="000000"/>
          <w:sz w:val="22"/>
          <w:szCs w:val="22"/>
          <w:u w:color="000000"/>
        </w:rPr>
        <w:t xml:space="preserve">may not be helpful when being explored at a local level as local data would be most helpful for those discussions. </w:t>
      </w:r>
    </w:p>
    <w:p w14:paraId="00029378" w14:textId="77777777" w:rsidR="005B5ABF" w:rsidRDefault="005B5ABF">
      <w:pPr>
        <w:pStyle w:val="NormalWeb"/>
        <w:spacing w:before="0" w:after="0"/>
        <w:rPr>
          <w:color w:val="000000"/>
          <w:sz w:val="22"/>
          <w:szCs w:val="22"/>
          <w:u w:color="000000"/>
        </w:rPr>
      </w:pPr>
    </w:p>
    <w:p w14:paraId="7DE00342" w14:textId="77777777" w:rsidR="005B5ABF" w:rsidRDefault="00DB686F">
      <w:pPr>
        <w:pStyle w:val="NormalWeb"/>
        <w:spacing w:before="0" w:after="0"/>
        <w:rPr>
          <w:color w:val="000000"/>
          <w:sz w:val="22"/>
          <w:szCs w:val="22"/>
          <w:u w:color="000000"/>
        </w:rPr>
      </w:pPr>
      <w:r>
        <w:rPr>
          <w:color w:val="000000"/>
          <w:sz w:val="22"/>
          <w:szCs w:val="22"/>
          <w:u w:color="000000"/>
        </w:rPr>
        <w:t>Suggested that there will be immense need in the future, but that the 3rd whereas would not be true for Fall of 2022.</w:t>
      </w:r>
    </w:p>
    <w:p w14:paraId="15EA02AD" w14:textId="77777777" w:rsidR="005B5ABF" w:rsidRDefault="005B5ABF">
      <w:pPr>
        <w:pStyle w:val="NormalWeb"/>
        <w:spacing w:before="0" w:after="0"/>
        <w:rPr>
          <w:color w:val="000000"/>
          <w:sz w:val="22"/>
          <w:szCs w:val="22"/>
          <w:u w:color="000000"/>
        </w:rPr>
      </w:pPr>
    </w:p>
    <w:p w14:paraId="4D756650" w14:textId="77777777" w:rsidR="005B5ABF" w:rsidRDefault="00DB686F">
      <w:pPr>
        <w:pStyle w:val="NormalWeb"/>
        <w:spacing w:before="0" w:after="0"/>
        <w:rPr>
          <w:color w:val="000000"/>
          <w:sz w:val="22"/>
          <w:szCs w:val="22"/>
          <w:u w:color="000000"/>
        </w:rPr>
      </w:pPr>
      <w:r>
        <w:rPr>
          <w:color w:val="000000"/>
          <w:sz w:val="22"/>
          <w:szCs w:val="22"/>
          <w:u w:color="000000"/>
        </w:rPr>
        <w:t xml:space="preserve">Motion to support the amended resolution that has the second resolve and the striking of the third whereas. </w:t>
      </w:r>
    </w:p>
    <w:p w14:paraId="2BE2DF22" w14:textId="77777777" w:rsidR="005B5ABF" w:rsidRDefault="005B5ABF">
      <w:pPr>
        <w:pStyle w:val="NormalWeb"/>
        <w:spacing w:before="0" w:after="0"/>
        <w:rPr>
          <w:color w:val="000000"/>
          <w:sz w:val="22"/>
          <w:szCs w:val="22"/>
          <w:u w:color="000000"/>
        </w:rPr>
      </w:pPr>
    </w:p>
    <w:p w14:paraId="3996ED8C" w14:textId="7192A411" w:rsidR="005B5ABF" w:rsidRDefault="00725213">
      <w:pPr>
        <w:pStyle w:val="NormalWeb"/>
        <w:spacing w:before="0" w:after="0"/>
        <w:rPr>
          <w:color w:val="000000"/>
          <w:sz w:val="22"/>
          <w:szCs w:val="22"/>
          <w:u w:color="000000"/>
        </w:rPr>
      </w:pPr>
      <w:r>
        <w:rPr>
          <w:color w:val="000000"/>
          <w:sz w:val="22"/>
          <w:szCs w:val="22"/>
          <w:u w:color="000000"/>
        </w:rPr>
        <w:t xml:space="preserve">Motion adopted by roll call vote. </w:t>
      </w:r>
      <w:r w:rsidR="00DB686F">
        <w:rPr>
          <w:color w:val="000000"/>
          <w:sz w:val="22"/>
          <w:szCs w:val="22"/>
          <w:u w:color="000000"/>
        </w:rPr>
        <w:t xml:space="preserve">13 yes </w:t>
      </w:r>
      <w:r>
        <w:rPr>
          <w:color w:val="000000"/>
          <w:sz w:val="22"/>
          <w:szCs w:val="22"/>
          <w:u w:color="000000"/>
        </w:rPr>
        <w:t xml:space="preserve">votes </w:t>
      </w:r>
      <w:r w:rsidR="00DB686F">
        <w:rPr>
          <w:color w:val="000000"/>
          <w:sz w:val="22"/>
          <w:szCs w:val="22"/>
          <w:u w:color="000000"/>
        </w:rPr>
        <w:t>and one no</w:t>
      </w:r>
      <w:r>
        <w:rPr>
          <w:color w:val="000000"/>
          <w:sz w:val="22"/>
          <w:szCs w:val="22"/>
          <w:u w:color="000000"/>
        </w:rPr>
        <w:t xml:space="preserve"> vote</w:t>
      </w:r>
      <w:r w:rsidR="00DB686F">
        <w:rPr>
          <w:color w:val="000000"/>
          <w:sz w:val="22"/>
          <w:szCs w:val="22"/>
          <w:u w:color="000000"/>
        </w:rPr>
        <w:t xml:space="preserve">. </w:t>
      </w:r>
    </w:p>
    <w:p w14:paraId="21AD2540" w14:textId="0A7AD282" w:rsidR="00725213" w:rsidRDefault="00725213">
      <w:pPr>
        <w:pStyle w:val="NormalWeb"/>
        <w:spacing w:before="0" w:after="0"/>
        <w:rPr>
          <w:color w:val="000000"/>
          <w:sz w:val="22"/>
          <w:szCs w:val="22"/>
          <w:u w:color="000000"/>
        </w:rPr>
      </w:pPr>
    </w:p>
    <w:p w14:paraId="522E02AC" w14:textId="334F27BA" w:rsidR="00725213" w:rsidRDefault="00725213" w:rsidP="00725213">
      <w:pPr>
        <w:pStyle w:val="Body"/>
      </w:pPr>
      <w:r>
        <w:t>Yes: Carina Hoffpauir, Brian Knirk, Veronica Lopez, Jacob Velasquez, Lisa-Marie Mederos, Eric Wada, Danielle Beck, Lisa Danner, Paula Cardwell, Dawna DeMartini, Amy Strimling, Lori Petite.</w:t>
      </w:r>
    </w:p>
    <w:p w14:paraId="6E23F7A9" w14:textId="740ECC63" w:rsidR="005B5ABF" w:rsidRPr="00725213" w:rsidRDefault="00725213" w:rsidP="00725213">
      <w:pPr>
        <w:pStyle w:val="Body"/>
        <w:rPr>
          <w:rStyle w:val="None"/>
          <w:i/>
          <w:iCs/>
        </w:rPr>
      </w:pPr>
      <w:r>
        <w:t>No: Sandra Guzman.</w:t>
      </w:r>
    </w:p>
    <w:p w14:paraId="74E10C7F" w14:textId="3A17BC55" w:rsidR="005B5ABF" w:rsidRDefault="00DB686F">
      <w:pPr>
        <w:pStyle w:val="NormalWeb"/>
        <w:spacing w:before="0" w:after="0"/>
        <w:rPr>
          <w:rStyle w:val="None"/>
          <w:i/>
          <w:iCs/>
          <w:color w:val="000000"/>
          <w:sz w:val="22"/>
          <w:szCs w:val="22"/>
          <w:u w:color="000000"/>
        </w:rPr>
      </w:pPr>
      <w:r>
        <w:rPr>
          <w:rStyle w:val="None"/>
          <w:color w:val="000000"/>
          <w:u w:color="000000"/>
        </w:rPr>
        <w:t xml:space="preserve">     13. Adoption of DAS Non-credit Exploration </w:t>
      </w:r>
      <w:hyperlink w:anchor="noncredit" w:history="1">
        <w:r w:rsidRPr="00A008CB">
          <w:rPr>
            <w:rStyle w:val="Hyperlink"/>
          </w:rPr>
          <w:t>Task Force Report</w:t>
        </w:r>
      </w:hyperlink>
      <w:r>
        <w:rPr>
          <w:rStyle w:val="None"/>
          <w:color w:val="000000"/>
          <w:u w:color="000000"/>
        </w:rPr>
        <w:t xml:space="preserve"> &amp; Recommendations </w:t>
      </w:r>
      <w:r>
        <w:rPr>
          <w:rStyle w:val="None"/>
          <w:i/>
          <w:iCs/>
          <w:color w:val="000000"/>
          <w:sz w:val="22"/>
          <w:szCs w:val="22"/>
          <w:u w:color="000000"/>
        </w:rPr>
        <w:t>(First Reading)</w:t>
      </w:r>
    </w:p>
    <w:p w14:paraId="78A958F2" w14:textId="77777777" w:rsidR="005B5ABF" w:rsidRDefault="005B5ABF">
      <w:pPr>
        <w:pStyle w:val="NormalWeb"/>
        <w:spacing w:before="0" w:after="0"/>
        <w:rPr>
          <w:rStyle w:val="None"/>
          <w:i/>
          <w:iCs/>
          <w:color w:val="000000"/>
          <w:sz w:val="22"/>
          <w:szCs w:val="22"/>
          <w:u w:color="000000"/>
        </w:rPr>
      </w:pPr>
    </w:p>
    <w:p w14:paraId="13C64303" w14:textId="77777777" w:rsidR="005B5ABF" w:rsidRDefault="00DB686F">
      <w:pPr>
        <w:pStyle w:val="NormalWeb"/>
        <w:spacing w:before="0" w:after="0"/>
        <w:rPr>
          <w:rStyle w:val="None"/>
          <w:color w:val="000000"/>
          <w:sz w:val="22"/>
          <w:szCs w:val="22"/>
          <w:u w:color="000000"/>
        </w:rPr>
      </w:pPr>
      <w:r>
        <w:rPr>
          <w:rStyle w:val="None"/>
          <w:color w:val="000000"/>
          <w:sz w:val="22"/>
          <w:szCs w:val="22"/>
          <w:u w:color="000000"/>
        </w:rPr>
        <w:t>Noted that original charge asked the task group to look at this through an equity lens, and that does not appear to be present in the recommendation.</w:t>
      </w:r>
    </w:p>
    <w:p w14:paraId="380590BF" w14:textId="77777777" w:rsidR="005B5ABF" w:rsidRDefault="005B5ABF">
      <w:pPr>
        <w:pStyle w:val="NormalWeb"/>
        <w:spacing w:before="0" w:after="0"/>
        <w:rPr>
          <w:rStyle w:val="None"/>
          <w:color w:val="000000"/>
          <w:sz w:val="22"/>
          <w:szCs w:val="22"/>
          <w:u w:color="000000"/>
        </w:rPr>
      </w:pPr>
    </w:p>
    <w:p w14:paraId="488ED43D" w14:textId="2D5F602A" w:rsidR="005B5ABF" w:rsidRDefault="00DB686F">
      <w:pPr>
        <w:pStyle w:val="NormalWeb"/>
        <w:spacing w:before="0" w:after="0"/>
        <w:rPr>
          <w:rStyle w:val="None"/>
          <w:color w:val="000000"/>
          <w:sz w:val="22"/>
          <w:szCs w:val="22"/>
          <w:u w:color="000000"/>
        </w:rPr>
      </w:pPr>
      <w:r>
        <w:rPr>
          <w:rStyle w:val="None"/>
          <w:color w:val="000000"/>
          <w:sz w:val="22"/>
          <w:szCs w:val="22"/>
          <w:u w:color="000000"/>
        </w:rPr>
        <w:t xml:space="preserve">Concern expressed </w:t>
      </w:r>
      <w:proofErr w:type="gramStart"/>
      <w:r>
        <w:rPr>
          <w:rStyle w:val="None"/>
          <w:color w:val="000000"/>
          <w:sz w:val="22"/>
          <w:szCs w:val="22"/>
          <w:u w:color="000000"/>
        </w:rPr>
        <w:t>that barriers</w:t>
      </w:r>
      <w:proofErr w:type="gramEnd"/>
      <w:r>
        <w:rPr>
          <w:rStyle w:val="None"/>
          <w:color w:val="000000"/>
          <w:sz w:val="22"/>
          <w:szCs w:val="22"/>
          <w:u w:color="000000"/>
        </w:rPr>
        <w:t xml:space="preserve"> such as </w:t>
      </w:r>
      <w:r w:rsidR="00391E33">
        <w:rPr>
          <w:rStyle w:val="None"/>
          <w:color w:val="000000"/>
          <w:sz w:val="22"/>
          <w:szCs w:val="22"/>
          <w:u w:color="000000"/>
        </w:rPr>
        <w:t>whether or not LRCFT would support</w:t>
      </w:r>
      <w:r>
        <w:rPr>
          <w:rStyle w:val="None"/>
          <w:color w:val="000000"/>
          <w:sz w:val="22"/>
          <w:szCs w:val="22"/>
          <w:u w:color="000000"/>
        </w:rPr>
        <w:t xml:space="preserve"> noncredit, were not explored. No area of the report acknowledged possible barriers. Lack of info on LRCFT support at this point is a concern. </w:t>
      </w:r>
    </w:p>
    <w:p w14:paraId="2A7114BC" w14:textId="77777777" w:rsidR="005B5ABF" w:rsidRDefault="005B5ABF">
      <w:pPr>
        <w:pStyle w:val="NormalWeb"/>
        <w:spacing w:before="0" w:after="0"/>
        <w:rPr>
          <w:rStyle w:val="None"/>
          <w:color w:val="000000"/>
          <w:sz w:val="22"/>
          <w:szCs w:val="22"/>
          <w:u w:color="000000"/>
        </w:rPr>
      </w:pPr>
    </w:p>
    <w:p w14:paraId="4F352B57" w14:textId="77777777" w:rsidR="005B5ABF" w:rsidRDefault="00DB686F">
      <w:pPr>
        <w:pStyle w:val="NormalWeb"/>
        <w:spacing w:before="0" w:after="0"/>
        <w:rPr>
          <w:rStyle w:val="None"/>
          <w:color w:val="000000"/>
          <w:sz w:val="22"/>
          <w:szCs w:val="22"/>
          <w:u w:color="000000"/>
        </w:rPr>
      </w:pPr>
      <w:r>
        <w:rPr>
          <w:rStyle w:val="None"/>
          <w:color w:val="000000"/>
          <w:sz w:val="22"/>
          <w:szCs w:val="22"/>
          <w:u w:color="000000"/>
        </w:rPr>
        <w:t>Concern expressed about the lack of equity framework in the recommendation. Want to make sure we are doing this because it is right for students, not because there is money on the table.</w:t>
      </w:r>
    </w:p>
    <w:p w14:paraId="45CC878A" w14:textId="77777777" w:rsidR="005B5ABF" w:rsidRDefault="005B5ABF">
      <w:pPr>
        <w:pStyle w:val="NormalWeb"/>
        <w:spacing w:before="0" w:after="0"/>
        <w:rPr>
          <w:rStyle w:val="None"/>
          <w:color w:val="000000"/>
          <w:sz w:val="22"/>
          <w:szCs w:val="22"/>
          <w:u w:color="000000"/>
        </w:rPr>
      </w:pPr>
    </w:p>
    <w:p w14:paraId="5278984A" w14:textId="77777777" w:rsidR="005B5ABF" w:rsidRDefault="00DB686F">
      <w:pPr>
        <w:pStyle w:val="NormalWeb"/>
        <w:spacing w:before="0" w:after="0"/>
        <w:rPr>
          <w:rStyle w:val="None"/>
          <w:color w:val="000000"/>
          <w:sz w:val="22"/>
          <w:szCs w:val="22"/>
          <w:u w:color="000000"/>
        </w:rPr>
      </w:pPr>
      <w:r>
        <w:rPr>
          <w:rStyle w:val="None"/>
          <w:color w:val="000000"/>
          <w:sz w:val="22"/>
          <w:szCs w:val="22"/>
          <w:u w:color="000000"/>
        </w:rPr>
        <w:t xml:space="preserve">Suggested that the proposal could use additional specificity as to what the phased approach would look like? Which areas would we be looking at first? </w:t>
      </w:r>
    </w:p>
    <w:p w14:paraId="777742F2" w14:textId="77777777" w:rsidR="005B5ABF" w:rsidRDefault="005B5ABF">
      <w:pPr>
        <w:pStyle w:val="NormalWeb"/>
        <w:spacing w:before="0" w:after="0"/>
        <w:rPr>
          <w:rStyle w:val="None"/>
          <w:color w:val="000000"/>
          <w:sz w:val="22"/>
          <w:szCs w:val="22"/>
          <w:u w:color="000000"/>
        </w:rPr>
      </w:pPr>
    </w:p>
    <w:p w14:paraId="3550259E" w14:textId="3CFBFD20" w:rsidR="005B5ABF" w:rsidRDefault="00DB686F">
      <w:pPr>
        <w:pStyle w:val="NormalWeb"/>
        <w:spacing w:before="0" w:after="0"/>
        <w:rPr>
          <w:rStyle w:val="None"/>
          <w:color w:val="000000"/>
          <w:sz w:val="22"/>
          <w:szCs w:val="22"/>
          <w:u w:color="000000"/>
        </w:rPr>
      </w:pPr>
      <w:r>
        <w:rPr>
          <w:rStyle w:val="None"/>
          <w:color w:val="000000"/>
          <w:sz w:val="22"/>
          <w:szCs w:val="22"/>
          <w:u w:color="000000"/>
        </w:rPr>
        <w:t>Suggested that we ask the original work</w:t>
      </w:r>
      <w:r w:rsidR="00391E33">
        <w:rPr>
          <w:rStyle w:val="None"/>
          <w:color w:val="000000"/>
          <w:sz w:val="22"/>
          <w:szCs w:val="22"/>
          <w:u w:color="000000"/>
        </w:rPr>
        <w:t xml:space="preserve"> group</w:t>
      </w:r>
      <w:r>
        <w:rPr>
          <w:rStyle w:val="None"/>
          <w:color w:val="000000"/>
          <w:sz w:val="22"/>
          <w:szCs w:val="22"/>
          <w:u w:color="000000"/>
        </w:rPr>
        <w:t xml:space="preserve"> to revise the report to address the areas that were not addressed such as equity and potential barriers and fleshing out more detail about what a phased in approach would look like. </w:t>
      </w:r>
    </w:p>
    <w:p w14:paraId="5EBFE0DC" w14:textId="77777777" w:rsidR="005B5ABF" w:rsidRDefault="005B5ABF">
      <w:pPr>
        <w:pStyle w:val="NormalWeb"/>
        <w:spacing w:before="0" w:after="0"/>
        <w:rPr>
          <w:rStyle w:val="None"/>
          <w:color w:val="000000"/>
          <w:sz w:val="22"/>
          <w:szCs w:val="22"/>
          <w:u w:color="000000"/>
        </w:rPr>
      </w:pPr>
    </w:p>
    <w:p w14:paraId="02223630" w14:textId="65CBE75F" w:rsidR="005B5ABF" w:rsidRDefault="00DB686F">
      <w:pPr>
        <w:pStyle w:val="NormalWeb"/>
        <w:spacing w:before="0" w:after="0"/>
        <w:rPr>
          <w:rStyle w:val="None"/>
          <w:color w:val="000000"/>
          <w:sz w:val="22"/>
          <w:szCs w:val="22"/>
          <w:u w:color="000000"/>
        </w:rPr>
      </w:pPr>
      <w:r>
        <w:rPr>
          <w:rStyle w:val="None"/>
          <w:color w:val="000000"/>
          <w:sz w:val="22"/>
          <w:szCs w:val="22"/>
          <w:u w:color="000000"/>
        </w:rPr>
        <w:t xml:space="preserve">Suggested that possibly the work group did not feel they had the capacity to address </w:t>
      </w:r>
      <w:r w:rsidR="00725213">
        <w:rPr>
          <w:rStyle w:val="None"/>
          <w:color w:val="000000"/>
          <w:sz w:val="22"/>
          <w:szCs w:val="22"/>
          <w:u w:color="000000"/>
        </w:rPr>
        <w:t>the areas that were omitted, so it could be beneficial to task a new group with exploring those areas.</w:t>
      </w:r>
    </w:p>
    <w:p w14:paraId="75856FE1" w14:textId="77777777" w:rsidR="005B5ABF" w:rsidRDefault="005B5ABF">
      <w:pPr>
        <w:pStyle w:val="NormalWeb"/>
        <w:spacing w:before="0" w:after="0"/>
        <w:rPr>
          <w:rStyle w:val="None"/>
          <w:color w:val="000000"/>
          <w:sz w:val="22"/>
          <w:szCs w:val="22"/>
          <w:u w:color="000000"/>
        </w:rPr>
      </w:pPr>
    </w:p>
    <w:p w14:paraId="1B21FD89" w14:textId="0952024D" w:rsidR="005B5ABF" w:rsidRDefault="00DB686F">
      <w:pPr>
        <w:pStyle w:val="NormalWeb"/>
        <w:spacing w:before="0" w:after="0"/>
        <w:rPr>
          <w:rStyle w:val="None"/>
          <w:color w:val="000000"/>
          <w:sz w:val="22"/>
          <w:szCs w:val="22"/>
          <w:u w:color="000000"/>
        </w:rPr>
      </w:pPr>
      <w:r>
        <w:rPr>
          <w:rStyle w:val="None"/>
          <w:color w:val="000000"/>
          <w:sz w:val="22"/>
          <w:szCs w:val="22"/>
          <w:u w:color="000000"/>
        </w:rPr>
        <w:lastRenderedPageBreak/>
        <w:t>Suggested that th</w:t>
      </w:r>
      <w:r w:rsidR="0052442F">
        <w:rPr>
          <w:rStyle w:val="None"/>
          <w:color w:val="000000"/>
          <w:sz w:val="22"/>
          <w:szCs w:val="22"/>
          <w:u w:color="000000"/>
        </w:rPr>
        <w:t xml:space="preserve">e initial </w:t>
      </w:r>
      <w:r>
        <w:rPr>
          <w:rStyle w:val="None"/>
          <w:color w:val="000000"/>
          <w:sz w:val="22"/>
          <w:szCs w:val="22"/>
          <w:u w:color="000000"/>
        </w:rPr>
        <w:t xml:space="preserve">group should respond first before going to a second group. </w:t>
      </w:r>
    </w:p>
    <w:p w14:paraId="02081F74" w14:textId="77777777" w:rsidR="005B5ABF" w:rsidRDefault="005B5ABF">
      <w:pPr>
        <w:pStyle w:val="NormalWeb"/>
        <w:spacing w:before="0" w:after="0"/>
        <w:rPr>
          <w:rStyle w:val="None"/>
          <w:color w:val="000000"/>
          <w:sz w:val="22"/>
          <w:szCs w:val="22"/>
          <w:u w:color="000000"/>
        </w:rPr>
      </w:pPr>
    </w:p>
    <w:p w14:paraId="0CAB5ED7" w14:textId="77777777" w:rsidR="005B5ABF" w:rsidRDefault="00DB686F">
      <w:pPr>
        <w:pStyle w:val="NormalWeb"/>
        <w:spacing w:before="0" w:after="0"/>
        <w:rPr>
          <w:rStyle w:val="None"/>
          <w:color w:val="000000"/>
          <w:sz w:val="22"/>
          <w:szCs w:val="22"/>
          <w:u w:color="000000"/>
        </w:rPr>
      </w:pPr>
      <w:r>
        <w:rPr>
          <w:rStyle w:val="None"/>
          <w:color w:val="000000"/>
          <w:sz w:val="22"/>
          <w:szCs w:val="22"/>
          <w:u w:color="000000"/>
        </w:rPr>
        <w:t xml:space="preserve">Concern that there was not strong LRCFT participation and belief that strong LRCFT participation would be essential. </w:t>
      </w:r>
    </w:p>
    <w:p w14:paraId="25620C57" w14:textId="77777777" w:rsidR="005B5ABF" w:rsidRDefault="005B5ABF">
      <w:pPr>
        <w:pStyle w:val="NormalWeb"/>
        <w:spacing w:before="0" w:after="0"/>
        <w:rPr>
          <w:rStyle w:val="None"/>
          <w:color w:val="000000"/>
          <w:sz w:val="22"/>
          <w:szCs w:val="22"/>
          <w:u w:color="000000"/>
        </w:rPr>
      </w:pPr>
    </w:p>
    <w:p w14:paraId="3D8032D9" w14:textId="77777777" w:rsidR="005B5ABF" w:rsidRDefault="00DB686F">
      <w:pPr>
        <w:pStyle w:val="NormalWeb"/>
        <w:spacing w:before="0" w:after="0"/>
        <w:rPr>
          <w:rStyle w:val="None"/>
          <w:i/>
          <w:iCs/>
          <w:color w:val="000000"/>
          <w:sz w:val="22"/>
          <w:szCs w:val="22"/>
          <w:u w:color="000000"/>
        </w:rPr>
      </w:pPr>
      <w:r>
        <w:rPr>
          <w:rStyle w:val="None"/>
          <w:color w:val="000000"/>
          <w:sz w:val="22"/>
          <w:szCs w:val="22"/>
          <w:u w:color="000000"/>
        </w:rPr>
        <w:t>Support expressed for the idea of going back to the group with the feedback generated today.</w:t>
      </w:r>
    </w:p>
    <w:p w14:paraId="7A2B83D6" w14:textId="77777777" w:rsidR="005B5ABF" w:rsidRDefault="005B5ABF">
      <w:pPr>
        <w:pStyle w:val="Heading2"/>
        <w:spacing w:before="0" w:after="0"/>
        <w:rPr>
          <w:rStyle w:val="None"/>
          <w:sz w:val="16"/>
          <w:szCs w:val="16"/>
        </w:rPr>
      </w:pPr>
    </w:p>
    <w:p w14:paraId="726D9888" w14:textId="77777777" w:rsidR="005B5ABF" w:rsidRDefault="00DB686F">
      <w:pPr>
        <w:pStyle w:val="Heading2"/>
        <w:spacing w:before="0" w:after="0"/>
      </w:pPr>
      <w:r>
        <w:rPr>
          <w:rStyle w:val="None"/>
          <w:lang w:val="fr-FR"/>
        </w:rPr>
        <w:t xml:space="preserve">Reports </w:t>
      </w:r>
      <w:r>
        <w:rPr>
          <w:rStyle w:val="None"/>
          <w:b w:val="0"/>
          <w:bCs w:val="0"/>
          <w:sz w:val="22"/>
          <w:szCs w:val="22"/>
        </w:rPr>
        <w:t>(5 minutes per report + 5 minutes for questions)</w:t>
      </w:r>
    </w:p>
    <w:p w14:paraId="718199E8" w14:textId="77777777" w:rsidR="005B5ABF" w:rsidRDefault="00DB686F">
      <w:pPr>
        <w:pStyle w:val="Heading2"/>
        <w:rPr>
          <w:rStyle w:val="None"/>
          <w:b w:val="0"/>
          <w:bCs w:val="0"/>
          <w:sz w:val="22"/>
          <w:szCs w:val="22"/>
        </w:rPr>
      </w:pPr>
      <w:r>
        <w:rPr>
          <w:rStyle w:val="None"/>
        </w:rPr>
        <w:t xml:space="preserve">Discussions </w:t>
      </w:r>
      <w:r>
        <w:rPr>
          <w:rStyle w:val="None"/>
          <w:b w:val="0"/>
          <w:bCs w:val="0"/>
          <w:sz w:val="22"/>
          <w:szCs w:val="22"/>
        </w:rPr>
        <w:t>(10-15 minutes per item)</w:t>
      </w:r>
    </w:p>
    <w:p w14:paraId="13FA46E8" w14:textId="60A96C71" w:rsidR="005B5ABF" w:rsidRDefault="00DB686F">
      <w:pPr>
        <w:pStyle w:val="ListParagraph"/>
        <w:numPr>
          <w:ilvl w:val="0"/>
          <w:numId w:val="6"/>
        </w:numPr>
        <w:rPr>
          <w:rStyle w:val="None"/>
          <w:sz w:val="24"/>
          <w:szCs w:val="24"/>
        </w:rPr>
      </w:pPr>
      <w:r>
        <w:rPr>
          <w:rStyle w:val="None"/>
          <w:sz w:val="24"/>
          <w:szCs w:val="24"/>
        </w:rPr>
        <w:t>Initiation of District Work Experience/Sector Internship Director work group</w:t>
      </w:r>
    </w:p>
    <w:p w14:paraId="5EB216A5" w14:textId="593403AA" w:rsidR="00A34948" w:rsidRPr="00A34948" w:rsidRDefault="00374F1D" w:rsidP="00A34948">
      <w:pPr>
        <w:rPr>
          <w:rFonts w:ascii="Calibri" w:hAnsi="Calibri" w:cs="Calibri"/>
          <w:sz w:val="22"/>
          <w:szCs w:val="22"/>
        </w:rPr>
      </w:pPr>
      <w:hyperlink w:anchor="work_exp" w:history="1">
        <w:r w:rsidR="00A34948" w:rsidRPr="00E830E2">
          <w:rPr>
            <w:rStyle w:val="Hyperlink"/>
            <w:rFonts w:ascii="Calibri" w:hAnsi="Calibri" w:cs="Calibri"/>
            <w:sz w:val="22"/>
            <w:szCs w:val="22"/>
          </w:rPr>
          <w:t>Work Experience &amp; Internship Committee of the District Academic Senate Recommendation</w:t>
        </w:r>
      </w:hyperlink>
    </w:p>
    <w:p w14:paraId="037EDBDF" w14:textId="77777777" w:rsidR="005B5ABF" w:rsidRPr="00711188" w:rsidRDefault="00DB686F">
      <w:pPr>
        <w:pStyle w:val="ListParagraph"/>
        <w:rPr>
          <w:rStyle w:val="None"/>
        </w:rPr>
      </w:pPr>
      <w:r w:rsidRPr="00711188">
        <w:rPr>
          <w:rStyle w:val="None"/>
        </w:rPr>
        <w:t xml:space="preserve">There are adjunct faculty working as sector internship directors and reporting to District. This was started without consulting with faculty. DO has never consulted with Work Experience Coordinators about best practices for working with students from DI populations. In many ways, this sector internship project is a parallel program run by District, completely separate from the existing work experience programs. Concerns raised about lack of training for those in this program District has been running. </w:t>
      </w:r>
    </w:p>
    <w:p w14:paraId="34C5A638" w14:textId="77777777" w:rsidR="005B5ABF" w:rsidRPr="00711188" w:rsidRDefault="00DB686F">
      <w:pPr>
        <w:pStyle w:val="ListParagraph"/>
        <w:rPr>
          <w:rStyle w:val="None"/>
        </w:rPr>
      </w:pPr>
      <w:r w:rsidRPr="00711188">
        <w:rPr>
          <w:rStyle w:val="None"/>
        </w:rPr>
        <w:t xml:space="preserve">Work experience coordinators are advocating for this workgroup. </w:t>
      </w:r>
    </w:p>
    <w:p w14:paraId="1D8692A1" w14:textId="77777777" w:rsidR="005B5ABF" w:rsidRPr="00711188" w:rsidRDefault="00DB686F">
      <w:pPr>
        <w:pStyle w:val="ListParagraph"/>
        <w:rPr>
          <w:rStyle w:val="None"/>
        </w:rPr>
      </w:pPr>
      <w:r w:rsidRPr="00711188">
        <w:rPr>
          <w:rStyle w:val="None"/>
        </w:rPr>
        <w:t>Inquiry if District realizes that this is a huge overreach. Do they understand this is not how this should work?</w:t>
      </w:r>
    </w:p>
    <w:p w14:paraId="4EB3EDA0" w14:textId="77777777" w:rsidR="005B5ABF" w:rsidRPr="00711188" w:rsidRDefault="00DB686F">
      <w:pPr>
        <w:pStyle w:val="ListParagraph"/>
        <w:rPr>
          <w:rStyle w:val="None"/>
        </w:rPr>
      </w:pPr>
      <w:r w:rsidRPr="00711188">
        <w:rPr>
          <w:rStyle w:val="None"/>
        </w:rPr>
        <w:t>Concern expressed that if this overreach goes unchecked it will continue to snowball.</w:t>
      </w:r>
    </w:p>
    <w:p w14:paraId="67AFE35F" w14:textId="77777777" w:rsidR="005B5ABF" w:rsidRPr="00711188" w:rsidRDefault="00DB686F">
      <w:pPr>
        <w:pStyle w:val="ListParagraph"/>
        <w:rPr>
          <w:rStyle w:val="None"/>
        </w:rPr>
      </w:pPr>
      <w:r w:rsidRPr="00711188">
        <w:rPr>
          <w:rStyle w:val="None"/>
        </w:rPr>
        <w:t>Suggested that LRCFT be informed about this issue. Perhaps a grievance should be filed by LRCFT.</w:t>
      </w:r>
    </w:p>
    <w:p w14:paraId="61B2A1F4" w14:textId="77777777" w:rsidR="005B5ABF" w:rsidRPr="00711188" w:rsidRDefault="00DB686F">
      <w:pPr>
        <w:pStyle w:val="ListParagraph"/>
        <w:rPr>
          <w:rStyle w:val="None"/>
        </w:rPr>
      </w:pPr>
      <w:r w:rsidRPr="00711188">
        <w:rPr>
          <w:rStyle w:val="None"/>
        </w:rPr>
        <w:t>Desire for transparency about the funding for this sector internship program.</w:t>
      </w:r>
    </w:p>
    <w:p w14:paraId="1CFC03CE" w14:textId="77777777" w:rsidR="005B5ABF" w:rsidRPr="00711188" w:rsidRDefault="00DB686F">
      <w:pPr>
        <w:pStyle w:val="ListParagraph"/>
        <w:rPr>
          <w:rStyle w:val="None"/>
        </w:rPr>
      </w:pPr>
      <w:r w:rsidRPr="00711188">
        <w:rPr>
          <w:rStyle w:val="None"/>
        </w:rPr>
        <w:t>Concern expressed that committee should be more faculty weighted.</w:t>
      </w:r>
    </w:p>
    <w:p w14:paraId="0B2ABA79" w14:textId="77777777" w:rsidR="005B5ABF" w:rsidRPr="00711188" w:rsidRDefault="00DB686F">
      <w:pPr>
        <w:pStyle w:val="ListParagraph"/>
        <w:rPr>
          <w:rStyle w:val="None"/>
        </w:rPr>
      </w:pPr>
      <w:r w:rsidRPr="00711188">
        <w:rPr>
          <w:rStyle w:val="None"/>
        </w:rPr>
        <w:t>Noted that local senate presidents were never asked to appoint anyone to hiring committees for these positions.</w:t>
      </w:r>
    </w:p>
    <w:p w14:paraId="0140761F" w14:textId="77777777" w:rsidR="005B5ABF" w:rsidRPr="00711188" w:rsidRDefault="00DB686F">
      <w:pPr>
        <w:pStyle w:val="ListParagraph"/>
        <w:rPr>
          <w:rStyle w:val="None"/>
        </w:rPr>
      </w:pPr>
      <w:r w:rsidRPr="00711188">
        <w:rPr>
          <w:rStyle w:val="None"/>
        </w:rPr>
        <w:t>Suggested that District should be asked to cease and desist this program. Can we pause this program?</w:t>
      </w:r>
    </w:p>
    <w:p w14:paraId="210045A7" w14:textId="156FC1F5" w:rsidR="005B5ABF" w:rsidRPr="00711188" w:rsidRDefault="00DB686F">
      <w:pPr>
        <w:pStyle w:val="ListParagraph"/>
        <w:rPr>
          <w:rStyle w:val="None"/>
        </w:rPr>
      </w:pPr>
      <w:r w:rsidRPr="00711188">
        <w:rPr>
          <w:rStyle w:val="None"/>
        </w:rPr>
        <w:t xml:space="preserve">Suggested that a pause should be possible but perhaps that would need to come from the workgroup so that faculty have the opportunity to </w:t>
      </w:r>
      <w:r w:rsidR="00E830E2">
        <w:rPr>
          <w:rStyle w:val="None"/>
        </w:rPr>
        <w:t xml:space="preserve">make the request with sufficient detail to actually pause all the aspects that should be paused. </w:t>
      </w:r>
    </w:p>
    <w:p w14:paraId="227CC899" w14:textId="77777777" w:rsidR="005B5ABF" w:rsidRPr="00711188" w:rsidRDefault="00DB686F">
      <w:pPr>
        <w:pStyle w:val="ListParagraph"/>
        <w:rPr>
          <w:rStyle w:val="None"/>
        </w:rPr>
      </w:pPr>
      <w:r w:rsidRPr="00711188">
        <w:rPr>
          <w:rStyle w:val="None"/>
        </w:rPr>
        <w:t>Motion to suspend the rules so that we can vote to bring this forward. Approved unanimously.</w:t>
      </w:r>
    </w:p>
    <w:p w14:paraId="28286C03" w14:textId="77777777" w:rsidR="005B5ABF" w:rsidRPr="00711188" w:rsidRDefault="00DB686F">
      <w:pPr>
        <w:pStyle w:val="ListParagraph"/>
        <w:rPr>
          <w:rStyle w:val="None"/>
        </w:rPr>
      </w:pPr>
      <w:r w:rsidRPr="00711188">
        <w:rPr>
          <w:rStyle w:val="None"/>
        </w:rPr>
        <w:t>Motion to support the creation of the workgroup with the DAS president having the ability to amend the composition of the workgroup.</w:t>
      </w:r>
    </w:p>
    <w:p w14:paraId="31C489CB" w14:textId="76013429" w:rsidR="005B5ABF" w:rsidRDefault="00DB686F">
      <w:pPr>
        <w:pStyle w:val="ListParagraph"/>
        <w:rPr>
          <w:rStyle w:val="None"/>
        </w:rPr>
      </w:pPr>
      <w:r w:rsidRPr="00711188">
        <w:rPr>
          <w:rStyle w:val="None"/>
        </w:rPr>
        <w:t>Approved by unanimous roll call vote.</w:t>
      </w:r>
    </w:p>
    <w:p w14:paraId="7A35D1A1" w14:textId="1770E261" w:rsidR="00A34948" w:rsidRPr="00A34948" w:rsidRDefault="00A34948" w:rsidP="00A34948">
      <w:pPr>
        <w:pStyle w:val="Body"/>
        <w:rPr>
          <w:rStyle w:val="None"/>
          <w:i/>
          <w:iCs/>
        </w:rPr>
      </w:pPr>
      <w:r>
        <w:t>Yes: Carina Hoffpauir, Brian Knirk, Veronica Lopez, Jacob Velasquez, Lisa-Marie Mederos, Eric Wada, Danielle Beck, Lisa Danner, Paula Cardwell, Sandra Guzman, Dawna DeMartini, Amy Strimling, Lori Petite.</w:t>
      </w:r>
    </w:p>
    <w:p w14:paraId="5BE6F2A5" w14:textId="77777777" w:rsidR="005B5ABF" w:rsidRDefault="00DB686F">
      <w:pPr>
        <w:pStyle w:val="ListParagraph"/>
        <w:numPr>
          <w:ilvl w:val="0"/>
          <w:numId w:val="5"/>
        </w:numPr>
        <w:spacing w:before="0" w:after="0"/>
        <w:rPr>
          <w:sz w:val="24"/>
          <w:szCs w:val="24"/>
        </w:rPr>
      </w:pPr>
      <w:r>
        <w:rPr>
          <w:rStyle w:val="None"/>
          <w:sz w:val="24"/>
          <w:szCs w:val="24"/>
        </w:rPr>
        <w:t xml:space="preserve">Collegial Consultation </w:t>
      </w:r>
    </w:p>
    <w:p w14:paraId="45F7877C" w14:textId="77777777" w:rsidR="005B5ABF" w:rsidRDefault="00DB686F">
      <w:pPr>
        <w:pStyle w:val="ListParagraph"/>
        <w:numPr>
          <w:ilvl w:val="1"/>
          <w:numId w:val="8"/>
        </w:numPr>
        <w:spacing w:before="0" w:after="0"/>
        <w:rPr>
          <w:sz w:val="24"/>
          <w:szCs w:val="24"/>
        </w:rPr>
      </w:pPr>
      <w:r>
        <w:rPr>
          <w:rStyle w:val="None"/>
          <w:sz w:val="24"/>
          <w:szCs w:val="24"/>
        </w:rPr>
        <w:t>Resolution report</w:t>
      </w:r>
    </w:p>
    <w:p w14:paraId="4415729E" w14:textId="77777777" w:rsidR="005B5ABF" w:rsidRDefault="00DB686F">
      <w:pPr>
        <w:pStyle w:val="ListParagraph"/>
        <w:numPr>
          <w:ilvl w:val="1"/>
          <w:numId w:val="8"/>
        </w:numPr>
        <w:spacing w:before="0"/>
        <w:rPr>
          <w:sz w:val="24"/>
          <w:szCs w:val="24"/>
        </w:rPr>
      </w:pPr>
      <w:r>
        <w:rPr>
          <w:rStyle w:val="None"/>
          <w:sz w:val="24"/>
          <w:szCs w:val="24"/>
        </w:rPr>
        <w:t>Informational presentation to Board of Trustees</w:t>
      </w:r>
    </w:p>
    <w:p w14:paraId="17C4C12E" w14:textId="2BB2CE09" w:rsidR="000D6CF7" w:rsidRDefault="00374F1D">
      <w:pPr>
        <w:pStyle w:val="ListParagraph"/>
        <w:spacing w:before="0"/>
        <w:rPr>
          <w:rStyle w:val="None"/>
        </w:rPr>
      </w:pPr>
      <w:hyperlink r:id="rId17" w:history="1">
        <w:r w:rsidR="000D6CF7" w:rsidRPr="000D6CF7">
          <w:rPr>
            <w:rStyle w:val="Hyperlink"/>
          </w:rPr>
          <w:t>Draft Report</w:t>
        </w:r>
      </w:hyperlink>
    </w:p>
    <w:p w14:paraId="6C6CDA42" w14:textId="28E102B7" w:rsidR="000D6CF7" w:rsidRDefault="00374F1D">
      <w:pPr>
        <w:pStyle w:val="ListParagraph"/>
        <w:spacing w:before="0"/>
        <w:rPr>
          <w:rStyle w:val="None"/>
        </w:rPr>
      </w:pPr>
      <w:hyperlink r:id="rId18" w:history="1">
        <w:r w:rsidR="000D6CF7" w:rsidRPr="000D6CF7">
          <w:rPr>
            <w:rStyle w:val="Hyperlink"/>
          </w:rPr>
          <w:t>Draft of new version or report with checklist</w:t>
        </w:r>
      </w:hyperlink>
    </w:p>
    <w:p w14:paraId="05DAF7AF" w14:textId="4EF49353" w:rsidR="005B5ABF" w:rsidRPr="000D6CF7" w:rsidRDefault="00DB686F">
      <w:pPr>
        <w:pStyle w:val="ListParagraph"/>
        <w:spacing w:before="0"/>
        <w:rPr>
          <w:rStyle w:val="None"/>
        </w:rPr>
      </w:pPr>
      <w:r w:rsidRPr="000D6CF7">
        <w:rPr>
          <w:rStyle w:val="None"/>
        </w:rPr>
        <w:t xml:space="preserve">Collegial Consultation ppt not shared at prior BOT meeting because of concern that it might be a Brown Act violation because it should have been presented as an information item. It is now scheduled to be a presentation from Jamey Nye and the DAS President as an information item at the June BOT meeting. </w:t>
      </w:r>
    </w:p>
    <w:p w14:paraId="3C5CB7B6" w14:textId="77777777" w:rsidR="005B5ABF" w:rsidRPr="000D6CF7" w:rsidRDefault="00DB686F">
      <w:pPr>
        <w:pStyle w:val="ListParagraph"/>
        <w:spacing w:before="0"/>
        <w:rPr>
          <w:rStyle w:val="None"/>
        </w:rPr>
      </w:pPr>
      <w:r w:rsidRPr="000D6CF7">
        <w:rPr>
          <w:rStyle w:val="None"/>
        </w:rPr>
        <w:t>Proposed variation of the Collegial Consultation Report would incorporate a collegial consultation checklist that would help determine if collegial consultation has taken place. May help District to understand our expectations around collegial consultation.</w:t>
      </w:r>
    </w:p>
    <w:p w14:paraId="4C00915D" w14:textId="77777777" w:rsidR="005B5ABF" w:rsidRPr="000D6CF7" w:rsidRDefault="00DB686F">
      <w:pPr>
        <w:pStyle w:val="ListParagraph"/>
        <w:spacing w:before="0"/>
        <w:rPr>
          <w:rStyle w:val="None"/>
        </w:rPr>
      </w:pPr>
      <w:r w:rsidRPr="000D6CF7">
        <w:rPr>
          <w:rStyle w:val="None"/>
        </w:rPr>
        <w:t>Support expressed for the variation with the checklist.</w:t>
      </w:r>
    </w:p>
    <w:p w14:paraId="4CD58B3B" w14:textId="77777777" w:rsidR="005B5ABF" w:rsidRPr="000D6CF7" w:rsidRDefault="00DB686F">
      <w:pPr>
        <w:pStyle w:val="ListParagraph"/>
        <w:spacing w:before="0"/>
        <w:rPr>
          <w:rStyle w:val="None"/>
        </w:rPr>
      </w:pPr>
      <w:r w:rsidRPr="000D6CF7">
        <w:rPr>
          <w:rStyle w:val="None"/>
        </w:rPr>
        <w:t>Noted that consultation with faculty on enrollment plans has been lacking.</w:t>
      </w:r>
    </w:p>
    <w:p w14:paraId="374B263C" w14:textId="77777777" w:rsidR="005B5ABF" w:rsidRPr="000D6CF7" w:rsidRDefault="00DB686F">
      <w:pPr>
        <w:pStyle w:val="ListParagraph"/>
        <w:spacing w:before="0"/>
        <w:rPr>
          <w:rStyle w:val="None"/>
        </w:rPr>
      </w:pPr>
      <w:r w:rsidRPr="000D6CF7">
        <w:rPr>
          <w:rStyle w:val="None"/>
        </w:rPr>
        <w:t xml:space="preserve">Suggested that we need a written record of collegial consultation. An informal conversation in a hallway is not sufficient. </w:t>
      </w:r>
    </w:p>
    <w:p w14:paraId="3E272C58" w14:textId="77777777" w:rsidR="00C94845" w:rsidRDefault="00C94845">
      <w:pPr>
        <w:pStyle w:val="ListParagraph"/>
        <w:spacing w:before="0"/>
      </w:pPr>
      <w:r>
        <w:t>Suggested that we should reject the response from the Board president as premature because it is a response from the Board President as an individual and not something created with the feedback or input of other board members.</w:t>
      </w:r>
    </w:p>
    <w:p w14:paraId="6BDFB47C" w14:textId="7ADE531B" w:rsidR="005B5ABF" w:rsidRPr="000D6CF7" w:rsidRDefault="00DB686F">
      <w:pPr>
        <w:pStyle w:val="ListParagraph"/>
        <w:spacing w:before="0"/>
        <w:rPr>
          <w:rStyle w:val="None"/>
        </w:rPr>
      </w:pPr>
      <w:r w:rsidRPr="000D6CF7">
        <w:rPr>
          <w:rStyle w:val="None"/>
        </w:rPr>
        <w:t xml:space="preserve">Suggested that it is not reasonable at this point that District does not understand what collegial consultation is. Their behavior over the years is indicative of how they want to operate. The historic frame is important. </w:t>
      </w:r>
    </w:p>
    <w:p w14:paraId="001BE1CD" w14:textId="77777777" w:rsidR="005B5ABF" w:rsidRPr="000D6CF7" w:rsidRDefault="00DB686F">
      <w:pPr>
        <w:pStyle w:val="ListParagraph"/>
        <w:spacing w:before="0"/>
        <w:rPr>
          <w:rStyle w:val="None"/>
        </w:rPr>
      </w:pPr>
      <w:r w:rsidRPr="000D6CF7">
        <w:rPr>
          <w:rStyle w:val="None"/>
        </w:rPr>
        <w:t xml:space="preserve">Desire expressed for a united front of DAS and LRCFT on collegial consultation. </w:t>
      </w:r>
    </w:p>
    <w:p w14:paraId="48B2268D" w14:textId="77777777" w:rsidR="005B5ABF" w:rsidRPr="000D6CF7" w:rsidRDefault="00DB686F">
      <w:pPr>
        <w:pStyle w:val="ListParagraph"/>
        <w:spacing w:before="0"/>
        <w:rPr>
          <w:rStyle w:val="None"/>
        </w:rPr>
      </w:pPr>
      <w:r w:rsidRPr="000D6CF7">
        <w:rPr>
          <w:rStyle w:val="None"/>
        </w:rPr>
        <w:t xml:space="preserve">Concern about the optics of Jamey Nye co-presenting to BOT on collegial consultation. Suggested that the optics may work for us; may suggest that District accepts how we define collegial consultation. </w:t>
      </w:r>
    </w:p>
    <w:p w14:paraId="757DC816" w14:textId="5E67A2A0" w:rsidR="005B5ABF" w:rsidRPr="000D6CF7" w:rsidRDefault="00DB686F">
      <w:pPr>
        <w:pStyle w:val="ListParagraph"/>
        <w:spacing w:before="0"/>
        <w:rPr>
          <w:rStyle w:val="None"/>
        </w:rPr>
      </w:pPr>
      <w:r w:rsidRPr="000D6CF7">
        <w:rPr>
          <w:rStyle w:val="None"/>
        </w:rPr>
        <w:t xml:space="preserve">Noted that accreditation had inquiries about collegial consultation. Suggested that those </w:t>
      </w:r>
      <w:r w:rsidR="0052442F" w:rsidRPr="000D6CF7">
        <w:rPr>
          <w:rStyle w:val="None"/>
        </w:rPr>
        <w:t>inquiries</w:t>
      </w:r>
      <w:r w:rsidRPr="000D6CF7">
        <w:rPr>
          <w:rStyle w:val="None"/>
        </w:rPr>
        <w:t xml:space="preserve"> should be added to show the concerns of an outside body, demonstrating that these </w:t>
      </w:r>
      <w:r w:rsidR="0049066E">
        <w:rPr>
          <w:rStyle w:val="None"/>
        </w:rPr>
        <w:t>a</w:t>
      </w:r>
      <w:r w:rsidRPr="000D6CF7">
        <w:rPr>
          <w:rStyle w:val="None"/>
        </w:rPr>
        <w:t>re not the concerns of a disgruntled minority.</w:t>
      </w:r>
    </w:p>
    <w:p w14:paraId="7571EC8D" w14:textId="72F57E20" w:rsidR="005B5ABF" w:rsidRPr="000D6CF7" w:rsidRDefault="00DB686F">
      <w:pPr>
        <w:pStyle w:val="ListParagraph"/>
        <w:spacing w:before="0"/>
        <w:rPr>
          <w:rStyle w:val="None"/>
        </w:rPr>
      </w:pPr>
      <w:r w:rsidRPr="000D6CF7">
        <w:rPr>
          <w:rStyle w:val="None"/>
        </w:rPr>
        <w:t>Concern expressed about BOT President Knight’s rephras</w:t>
      </w:r>
      <w:r w:rsidR="000D6CF7">
        <w:rPr>
          <w:rStyle w:val="None"/>
        </w:rPr>
        <w:t>ing</w:t>
      </w:r>
      <w:r w:rsidRPr="000D6CF7">
        <w:rPr>
          <w:rStyle w:val="None"/>
        </w:rPr>
        <w:t xml:space="preserve"> and truncat</w:t>
      </w:r>
      <w:r w:rsidR="000D6CF7">
        <w:rPr>
          <w:rStyle w:val="None"/>
        </w:rPr>
        <w:t>ing faculty concerns.</w:t>
      </w:r>
      <w:r w:rsidRPr="000D6CF7">
        <w:rPr>
          <w:rStyle w:val="None"/>
        </w:rPr>
        <w:t xml:space="preserve"> </w:t>
      </w:r>
    </w:p>
    <w:p w14:paraId="2E8CC11A" w14:textId="77777777" w:rsidR="005B5ABF" w:rsidRPr="000D6CF7" w:rsidRDefault="00DB686F">
      <w:pPr>
        <w:pStyle w:val="ListParagraph"/>
        <w:spacing w:before="0"/>
        <w:rPr>
          <w:rStyle w:val="None"/>
        </w:rPr>
      </w:pPr>
      <w:r w:rsidRPr="000D6CF7">
        <w:rPr>
          <w:rStyle w:val="None"/>
        </w:rPr>
        <w:t xml:space="preserve">Suggested that when responding to Knight’s email, acknowledge that it was not a formal Board response, and inquire when we could expect a formal BOT response. </w:t>
      </w:r>
    </w:p>
    <w:p w14:paraId="68D8E13A" w14:textId="77777777" w:rsidR="005B5ABF" w:rsidRDefault="00DB686F">
      <w:pPr>
        <w:pStyle w:val="Heading2"/>
        <w:rPr>
          <w:rStyle w:val="None"/>
        </w:rPr>
      </w:pPr>
      <w:r>
        <w:rPr>
          <w:rStyle w:val="None"/>
        </w:rPr>
        <w:t>Items from Colleges for District Academic Senate Consideration</w:t>
      </w:r>
    </w:p>
    <w:p w14:paraId="634565A7" w14:textId="37EB6E88" w:rsidR="005B5ABF" w:rsidRDefault="00DB686F">
      <w:pPr>
        <w:pStyle w:val="Body"/>
        <w:rPr>
          <w:rStyle w:val="None"/>
        </w:rPr>
      </w:pPr>
      <w:r>
        <w:rPr>
          <w:rStyle w:val="None"/>
        </w:rPr>
        <w:t xml:space="preserve">Progress renewal report to help students who get a lot of </w:t>
      </w:r>
      <w:proofErr w:type="spellStart"/>
      <w:r>
        <w:rPr>
          <w:rStyle w:val="None"/>
        </w:rPr>
        <w:t>Ws</w:t>
      </w:r>
      <w:proofErr w:type="spellEnd"/>
      <w:r>
        <w:rPr>
          <w:rStyle w:val="None"/>
        </w:rPr>
        <w:t xml:space="preserve"> will be forthcoming</w:t>
      </w:r>
      <w:r w:rsidR="0052442F">
        <w:rPr>
          <w:rStyle w:val="None"/>
        </w:rPr>
        <w:t xml:space="preserve"> from FLC</w:t>
      </w:r>
      <w:r>
        <w:rPr>
          <w:rStyle w:val="None"/>
        </w:rPr>
        <w:t>.</w:t>
      </w:r>
    </w:p>
    <w:p w14:paraId="7859B3F9" w14:textId="77777777" w:rsidR="005B5ABF" w:rsidRDefault="00DB686F">
      <w:pPr>
        <w:pStyle w:val="Body"/>
        <w:rPr>
          <w:rStyle w:val="None"/>
        </w:rPr>
      </w:pPr>
      <w:r>
        <w:rPr>
          <w:rStyle w:val="None"/>
        </w:rPr>
        <w:t>SCC Senate voted to form a task force around the use of AI.</w:t>
      </w:r>
    </w:p>
    <w:p w14:paraId="245A3E69" w14:textId="77777777" w:rsidR="005B5ABF" w:rsidRDefault="00DB686F">
      <w:pPr>
        <w:pStyle w:val="Body"/>
      </w:pPr>
      <w:r>
        <w:rPr>
          <w:rStyle w:val="None"/>
        </w:rPr>
        <w:t xml:space="preserve">Interest expressed at ARC Senate in exploring faculty evaluations. </w:t>
      </w:r>
    </w:p>
    <w:p w14:paraId="35190BCD" w14:textId="77777777" w:rsidR="005B5ABF" w:rsidRDefault="00DB686F">
      <w:pPr>
        <w:pStyle w:val="Heading2"/>
        <w:rPr>
          <w:rStyle w:val="None"/>
          <w:b w:val="0"/>
          <w:bCs w:val="0"/>
          <w:sz w:val="22"/>
          <w:szCs w:val="22"/>
        </w:rPr>
      </w:pPr>
      <w:r>
        <w:rPr>
          <w:rStyle w:val="None"/>
        </w:rPr>
        <w:t>Committee Reports</w:t>
      </w:r>
      <w:r>
        <w:rPr>
          <w:rStyle w:val="None"/>
          <w:b w:val="0"/>
          <w:bCs w:val="0"/>
        </w:rPr>
        <w:t xml:space="preserve"> </w:t>
      </w:r>
      <w:r>
        <w:rPr>
          <w:rStyle w:val="None"/>
          <w:b w:val="0"/>
          <w:bCs w:val="0"/>
          <w:sz w:val="22"/>
          <w:szCs w:val="22"/>
        </w:rPr>
        <w:t>(as time permits, written reports will be posted to Canvas supporting material section and included in subsequent meeting minutes)</w:t>
      </w:r>
    </w:p>
    <w:p w14:paraId="15D7FBBA" w14:textId="161FB402" w:rsidR="005B5ABF" w:rsidRDefault="00DB686F">
      <w:pPr>
        <w:pStyle w:val="ListParagraph"/>
        <w:numPr>
          <w:ilvl w:val="0"/>
          <w:numId w:val="10"/>
        </w:numPr>
        <w:spacing w:before="0" w:after="0"/>
        <w:rPr>
          <w:rStyle w:val="None"/>
          <w:i/>
          <w:iCs/>
        </w:rPr>
      </w:pPr>
      <w:r>
        <w:rPr>
          <w:rStyle w:val="None"/>
        </w:rPr>
        <w:t xml:space="preserve">District Educational Technology Committee (DETC) – </w:t>
      </w:r>
      <w:r>
        <w:rPr>
          <w:rStyle w:val="None"/>
          <w:i/>
          <w:iCs/>
        </w:rPr>
        <w:t>Morgan Murphy</w:t>
      </w:r>
    </w:p>
    <w:p w14:paraId="59496733" w14:textId="6CFEF5C4" w:rsidR="008B7D02" w:rsidRPr="008B7D02" w:rsidRDefault="008B7D02" w:rsidP="008B7D02">
      <w:pPr>
        <w:pStyle w:val="ListParagraph"/>
        <w:spacing w:before="0" w:after="0"/>
        <w:ind w:left="720"/>
      </w:pPr>
      <w:r w:rsidRPr="008B7D02">
        <w:rPr>
          <w:color w:val="092A31"/>
          <w:shd w:val="clear" w:color="auto" w:fill="FFFFFF"/>
        </w:rPr>
        <w:t>No meeting since last DAS report. Please view </w:t>
      </w:r>
      <w:hyperlink r:id="rId19" w:tooltip="District Educational Technology Committee" w:history="1">
        <w:r w:rsidRPr="008B7D02">
          <w:rPr>
            <w:rStyle w:val="Hyperlink"/>
            <w:shd w:val="clear" w:color="auto" w:fill="FFFFFF"/>
          </w:rPr>
          <w:t>District Educational Technology Committee</w:t>
        </w:r>
      </w:hyperlink>
      <w:r w:rsidRPr="008B7D02">
        <w:rPr>
          <w:color w:val="092A31"/>
          <w:shd w:val="clear" w:color="auto" w:fill="FFFFFF"/>
        </w:rPr>
        <w:t> discussion for some responses to questions asked of EdTech at the prior DAS.</w:t>
      </w:r>
    </w:p>
    <w:p w14:paraId="426D627E" w14:textId="4E42DAC8" w:rsidR="005B5ABF" w:rsidRDefault="00DB686F">
      <w:pPr>
        <w:pStyle w:val="ListParagraph"/>
        <w:numPr>
          <w:ilvl w:val="0"/>
          <w:numId w:val="10"/>
        </w:numPr>
        <w:spacing w:before="0" w:after="0"/>
        <w:rPr>
          <w:rStyle w:val="None"/>
          <w:i/>
          <w:iCs/>
        </w:rPr>
      </w:pPr>
      <w:r>
        <w:rPr>
          <w:rStyle w:val="None"/>
        </w:rPr>
        <w:t>Instructional Accessibility Committee</w:t>
      </w:r>
      <w:r>
        <w:rPr>
          <w:rStyle w:val="None"/>
          <w:i/>
          <w:iCs/>
        </w:rPr>
        <w:t xml:space="preserve"> - Kandace Knudson</w:t>
      </w:r>
    </w:p>
    <w:p w14:paraId="3B3B1676" w14:textId="49558F0D" w:rsidR="005B5ABF" w:rsidRPr="00417075" w:rsidRDefault="00374F1D" w:rsidP="00417075">
      <w:pPr>
        <w:ind w:left="720"/>
        <w:rPr>
          <w:rStyle w:val="None"/>
          <w:rFonts w:ascii="Calibri" w:hAnsi="Calibri" w:cs="Calibri"/>
          <w:sz w:val="22"/>
          <w:szCs w:val="22"/>
        </w:rPr>
      </w:pPr>
      <w:hyperlink w:anchor="iac" w:history="1">
        <w:r w:rsidR="00417075" w:rsidRPr="00417075">
          <w:rPr>
            <w:rStyle w:val="Hyperlink"/>
            <w:rFonts w:ascii="Calibri" w:hAnsi="Calibri" w:cs="Calibri"/>
            <w:sz w:val="22"/>
            <w:szCs w:val="22"/>
          </w:rPr>
          <w:t>2022-23 IAC Report with Membership List</w:t>
        </w:r>
      </w:hyperlink>
    </w:p>
    <w:p w14:paraId="64D98C19" w14:textId="77777777" w:rsidR="005B5ABF" w:rsidRDefault="00DB686F">
      <w:pPr>
        <w:pStyle w:val="Body"/>
        <w:rPr>
          <w:rStyle w:val="None"/>
          <w:b/>
          <w:bCs/>
          <w:sz w:val="24"/>
          <w:szCs w:val="24"/>
        </w:rPr>
      </w:pPr>
      <w:r>
        <w:rPr>
          <w:rStyle w:val="None"/>
          <w:b/>
          <w:bCs/>
          <w:sz w:val="24"/>
          <w:szCs w:val="24"/>
        </w:rPr>
        <w:t>Future Returning Items:</w:t>
      </w:r>
    </w:p>
    <w:p w14:paraId="08E0961E" w14:textId="77777777" w:rsidR="005B5ABF" w:rsidRDefault="00DB686F">
      <w:pPr>
        <w:pStyle w:val="ListParagraph"/>
        <w:numPr>
          <w:ilvl w:val="0"/>
          <w:numId w:val="12"/>
        </w:numPr>
        <w:spacing w:before="0" w:after="0"/>
      </w:pPr>
      <w:r>
        <w:rPr>
          <w:rStyle w:val="None"/>
        </w:rPr>
        <w:t xml:space="preserve">Statement of Support for Learning Communities </w:t>
      </w:r>
      <w:r>
        <w:rPr>
          <w:rStyle w:val="None"/>
          <w:i/>
          <w:iCs/>
        </w:rPr>
        <w:t>(Second Reading)</w:t>
      </w:r>
      <w:r>
        <w:rPr>
          <w:rStyle w:val="None"/>
        </w:rPr>
        <w:t xml:space="preserve"> </w:t>
      </w:r>
    </w:p>
    <w:p w14:paraId="2AEBBA1E" w14:textId="77777777" w:rsidR="005B5ABF" w:rsidRDefault="00DB686F">
      <w:pPr>
        <w:pStyle w:val="ListParagraph"/>
        <w:numPr>
          <w:ilvl w:val="0"/>
          <w:numId w:val="12"/>
        </w:numPr>
        <w:spacing w:before="0" w:after="0"/>
      </w:pPr>
      <w:r>
        <w:rPr>
          <w:rStyle w:val="None"/>
        </w:rPr>
        <w:lastRenderedPageBreak/>
        <w:t>Student-facing information on Academic Conduct across Colleges &amp; AI Task Force</w:t>
      </w:r>
    </w:p>
    <w:p w14:paraId="304FD3BC" w14:textId="77777777" w:rsidR="005B5ABF" w:rsidRDefault="00DB686F">
      <w:pPr>
        <w:pStyle w:val="ListParagraph"/>
        <w:numPr>
          <w:ilvl w:val="0"/>
          <w:numId w:val="12"/>
        </w:numPr>
        <w:spacing w:before="0" w:after="0"/>
        <w:rPr>
          <w:color w:val="000000"/>
        </w:rPr>
      </w:pPr>
      <w:r>
        <w:rPr>
          <w:rStyle w:val="None"/>
          <w:color w:val="000000"/>
          <w:u w:color="000000"/>
        </w:rPr>
        <w:t>Operationalizing Equity-minded Professional Learning (mandatory equity training)</w:t>
      </w:r>
    </w:p>
    <w:p w14:paraId="017AAE0A" w14:textId="77777777" w:rsidR="005B5ABF" w:rsidRDefault="00DB686F">
      <w:pPr>
        <w:pStyle w:val="ListParagraph"/>
        <w:numPr>
          <w:ilvl w:val="0"/>
          <w:numId w:val="12"/>
        </w:numPr>
        <w:spacing w:before="0" w:after="0"/>
      </w:pPr>
      <w:r>
        <w:rPr>
          <w:rStyle w:val="None"/>
        </w:rPr>
        <w:t>Open Education Resources presentation to Board of Trustees</w:t>
      </w:r>
    </w:p>
    <w:p w14:paraId="5A7367D5" w14:textId="77777777" w:rsidR="005B5ABF" w:rsidRDefault="00DB686F">
      <w:pPr>
        <w:pStyle w:val="ListParagraph"/>
        <w:numPr>
          <w:ilvl w:val="0"/>
          <w:numId w:val="12"/>
        </w:numPr>
        <w:spacing w:before="0" w:after="0"/>
      </w:pPr>
      <w:r>
        <w:rPr>
          <w:rStyle w:val="None"/>
        </w:rPr>
        <w:t xml:space="preserve">LRCCD Policy &amp; Regulation 2222 </w:t>
      </w:r>
    </w:p>
    <w:p w14:paraId="18634B0C" w14:textId="77777777" w:rsidR="005B5ABF" w:rsidRDefault="00DB686F">
      <w:pPr>
        <w:pStyle w:val="ListParagraph"/>
        <w:numPr>
          <w:ilvl w:val="0"/>
          <w:numId w:val="12"/>
        </w:numPr>
        <w:spacing w:before="0" w:after="0"/>
      </w:pPr>
      <w:r>
        <w:rPr>
          <w:rStyle w:val="None"/>
        </w:rPr>
        <w:t>Strategic enrollment management plan</w:t>
      </w:r>
    </w:p>
    <w:p w14:paraId="3442C32F" w14:textId="77777777" w:rsidR="005B5ABF" w:rsidRDefault="005B5ABF">
      <w:pPr>
        <w:pStyle w:val="ListParagraph"/>
        <w:ind w:left="720"/>
        <w:rPr>
          <w:rStyle w:val="None"/>
          <w:color w:val="000000"/>
          <w:u w:color="000000"/>
        </w:rPr>
      </w:pPr>
    </w:p>
    <w:p w14:paraId="0046A1EB" w14:textId="77777777" w:rsidR="005B5ABF" w:rsidRDefault="00DB686F">
      <w:pPr>
        <w:pStyle w:val="Heading2"/>
      </w:pPr>
      <w:r>
        <w:rPr>
          <w:rStyle w:val="None"/>
        </w:rPr>
        <w:t>Upcoming Meetings / Events</w:t>
      </w:r>
    </w:p>
    <w:p w14:paraId="30BE5E8F" w14:textId="77777777" w:rsidR="005B5ABF" w:rsidRDefault="00DB686F">
      <w:pPr>
        <w:pStyle w:val="ListParagraph"/>
        <w:numPr>
          <w:ilvl w:val="0"/>
          <w:numId w:val="14"/>
        </w:numPr>
        <w:spacing w:before="0" w:after="0"/>
      </w:pPr>
      <w:r>
        <w:rPr>
          <w:rStyle w:val="None"/>
        </w:rPr>
        <w:t>Faculty Tenure Reception: Friday, May 12</w:t>
      </w:r>
      <w:r>
        <w:rPr>
          <w:rStyle w:val="None"/>
          <w:vertAlign w:val="superscript"/>
        </w:rPr>
        <w:t>th</w:t>
      </w:r>
      <w:r>
        <w:rPr>
          <w:rStyle w:val="None"/>
        </w:rPr>
        <w:t xml:space="preserve"> 3-5pm DO courtyard</w:t>
      </w:r>
    </w:p>
    <w:p w14:paraId="123E518B" w14:textId="77777777" w:rsidR="005B5ABF" w:rsidRDefault="00374F1D">
      <w:pPr>
        <w:pStyle w:val="ListParagraph"/>
        <w:numPr>
          <w:ilvl w:val="0"/>
          <w:numId w:val="14"/>
        </w:numPr>
        <w:spacing w:before="0" w:after="0"/>
      </w:pPr>
      <w:hyperlink r:id="rId20" w:history="1">
        <w:r w:rsidR="00DB686F">
          <w:rPr>
            <w:rStyle w:val="Link"/>
          </w:rPr>
          <w:t>LRCCD Board of Trustees</w:t>
        </w:r>
      </w:hyperlink>
      <w:r w:rsidR="00DB686F">
        <w:rPr>
          <w:rStyle w:val="None"/>
        </w:rPr>
        <w:t xml:space="preserve"> Meeting: Wednesday, June 14</w:t>
      </w:r>
      <w:proofErr w:type="gramStart"/>
      <w:r w:rsidR="00DB686F">
        <w:rPr>
          <w:rStyle w:val="None"/>
          <w:vertAlign w:val="superscript"/>
        </w:rPr>
        <w:t>th</w:t>
      </w:r>
      <w:r w:rsidR="00DB686F">
        <w:rPr>
          <w:rStyle w:val="None"/>
        </w:rPr>
        <w:t xml:space="preserve">  5</w:t>
      </w:r>
      <w:proofErr w:type="gramEnd"/>
      <w:r w:rsidR="00DB686F">
        <w:rPr>
          <w:rStyle w:val="None"/>
        </w:rPr>
        <w:t>:30pm (DO Board Room)</w:t>
      </w:r>
    </w:p>
    <w:p w14:paraId="7BCB0F32" w14:textId="77777777" w:rsidR="005B5ABF" w:rsidRDefault="00DB686F">
      <w:pPr>
        <w:pStyle w:val="ListParagraph"/>
        <w:numPr>
          <w:ilvl w:val="0"/>
          <w:numId w:val="14"/>
        </w:numPr>
        <w:spacing w:before="0" w:after="0"/>
      </w:pPr>
      <w:bookmarkStart w:id="0" w:name="_Hlk134625647"/>
      <w:r>
        <w:rPr>
          <w:rStyle w:val="None"/>
        </w:rPr>
        <w:t>D</w:t>
      </w:r>
      <w:bookmarkStart w:id="1" w:name="_Hlk127180591"/>
      <w:bookmarkEnd w:id="0"/>
      <w:r>
        <w:rPr>
          <w:rStyle w:val="None"/>
        </w:rPr>
        <w:t>istrict Academic Senate Retreat: TBD</w:t>
      </w:r>
    </w:p>
    <w:p w14:paraId="3812D8DE" w14:textId="77777777" w:rsidR="005B5ABF" w:rsidRDefault="00DB686F">
      <w:pPr>
        <w:pStyle w:val="ListParagraph"/>
        <w:numPr>
          <w:ilvl w:val="0"/>
          <w:numId w:val="14"/>
        </w:numPr>
        <w:spacing w:before="0" w:after="0"/>
      </w:pPr>
      <w:bookmarkStart w:id="2" w:name="calendar"/>
      <w:r>
        <w:rPr>
          <w:rStyle w:val="None"/>
        </w:rPr>
        <w:t xml:space="preserve">2023-24 District </w:t>
      </w:r>
      <w:bookmarkEnd w:id="2"/>
      <w:r>
        <w:rPr>
          <w:rStyle w:val="None"/>
        </w:rPr>
        <w:t xml:space="preserve">Academic Senate Meeting Schedule: </w:t>
      </w:r>
    </w:p>
    <w:p w14:paraId="46167F1C" w14:textId="77777777" w:rsidR="005B5ABF" w:rsidRDefault="005B5ABF">
      <w:pPr>
        <w:pStyle w:val="ListParagraph"/>
        <w:spacing w:before="0" w:after="0"/>
        <w:ind w:left="777"/>
      </w:pPr>
    </w:p>
    <w:bookmarkEnd w:id="1"/>
    <w:p w14:paraId="6817336E" w14:textId="77777777" w:rsidR="005B5ABF" w:rsidRDefault="005B5ABF">
      <w:pPr>
        <w:pStyle w:val="Body"/>
        <w:spacing w:before="0" w:after="0"/>
        <w:sectPr w:rsidR="005B5ABF">
          <w:headerReference w:type="first" r:id="rId21"/>
          <w:footerReference w:type="first" r:id="rId22"/>
          <w:pgSz w:w="12240" w:h="15840"/>
          <w:pgMar w:top="1440" w:right="1080" w:bottom="1440" w:left="1080" w:header="720" w:footer="720" w:gutter="0"/>
          <w:cols w:space="720"/>
          <w:titlePg/>
        </w:sectPr>
      </w:pPr>
    </w:p>
    <w:p w14:paraId="5D1CF021" w14:textId="77777777" w:rsidR="005B5ABF" w:rsidRDefault="00DB686F">
      <w:pPr>
        <w:pStyle w:val="ListParagraph"/>
        <w:numPr>
          <w:ilvl w:val="1"/>
          <w:numId w:val="14"/>
        </w:numPr>
        <w:spacing w:before="0" w:after="0"/>
        <w:rPr>
          <w:sz w:val="20"/>
          <w:szCs w:val="20"/>
        </w:rPr>
      </w:pPr>
      <w:r>
        <w:rPr>
          <w:rStyle w:val="None"/>
          <w:sz w:val="20"/>
          <w:szCs w:val="20"/>
        </w:rPr>
        <w:t xml:space="preserve">Aug 22, 2023 </w:t>
      </w:r>
    </w:p>
    <w:p w14:paraId="3A3514C7" w14:textId="77777777" w:rsidR="005B5ABF" w:rsidRDefault="00DB686F">
      <w:pPr>
        <w:pStyle w:val="ListParagraph"/>
        <w:numPr>
          <w:ilvl w:val="1"/>
          <w:numId w:val="14"/>
        </w:numPr>
        <w:spacing w:before="0" w:after="0"/>
        <w:rPr>
          <w:sz w:val="20"/>
          <w:szCs w:val="20"/>
        </w:rPr>
      </w:pPr>
      <w:proofErr w:type="gramStart"/>
      <w:r>
        <w:rPr>
          <w:rStyle w:val="None"/>
          <w:sz w:val="20"/>
          <w:szCs w:val="20"/>
        </w:rPr>
        <w:t>Sept ,</w:t>
      </w:r>
      <w:proofErr w:type="gramEnd"/>
      <w:r>
        <w:rPr>
          <w:rStyle w:val="None"/>
          <w:sz w:val="20"/>
          <w:szCs w:val="20"/>
        </w:rPr>
        <w:t xml:space="preserve"> 2023</w:t>
      </w:r>
    </w:p>
    <w:p w14:paraId="216AFAA0" w14:textId="77777777" w:rsidR="005B5ABF" w:rsidRDefault="00DB686F">
      <w:pPr>
        <w:pStyle w:val="ListParagraph"/>
        <w:numPr>
          <w:ilvl w:val="1"/>
          <w:numId w:val="14"/>
        </w:numPr>
        <w:spacing w:before="0" w:after="0"/>
        <w:rPr>
          <w:sz w:val="20"/>
          <w:szCs w:val="20"/>
        </w:rPr>
      </w:pPr>
      <w:r>
        <w:rPr>
          <w:rStyle w:val="None"/>
          <w:sz w:val="20"/>
          <w:szCs w:val="20"/>
        </w:rPr>
        <w:t>Sept 19, 2023</w:t>
      </w:r>
    </w:p>
    <w:p w14:paraId="201D87EC" w14:textId="77777777" w:rsidR="005B5ABF" w:rsidRDefault="00DB686F">
      <w:pPr>
        <w:pStyle w:val="ListParagraph"/>
        <w:numPr>
          <w:ilvl w:val="1"/>
          <w:numId w:val="14"/>
        </w:numPr>
        <w:spacing w:before="0" w:after="0"/>
        <w:rPr>
          <w:sz w:val="20"/>
          <w:szCs w:val="20"/>
        </w:rPr>
      </w:pPr>
      <w:r>
        <w:rPr>
          <w:rStyle w:val="None"/>
          <w:sz w:val="20"/>
          <w:szCs w:val="20"/>
        </w:rPr>
        <w:t>Oct 3, 2023</w:t>
      </w:r>
    </w:p>
    <w:p w14:paraId="27F41A44" w14:textId="77777777" w:rsidR="005B5ABF" w:rsidRDefault="00DB686F">
      <w:pPr>
        <w:pStyle w:val="ListParagraph"/>
        <w:numPr>
          <w:ilvl w:val="1"/>
          <w:numId w:val="14"/>
        </w:numPr>
        <w:spacing w:before="0" w:after="0"/>
        <w:rPr>
          <w:sz w:val="20"/>
          <w:szCs w:val="20"/>
        </w:rPr>
      </w:pPr>
      <w:r>
        <w:rPr>
          <w:rStyle w:val="None"/>
          <w:sz w:val="20"/>
          <w:szCs w:val="20"/>
        </w:rPr>
        <w:t>Oct 17, 2023</w:t>
      </w:r>
    </w:p>
    <w:p w14:paraId="5AA058A6" w14:textId="77777777" w:rsidR="005B5ABF" w:rsidRDefault="00DB686F">
      <w:pPr>
        <w:pStyle w:val="ListParagraph"/>
        <w:numPr>
          <w:ilvl w:val="1"/>
          <w:numId w:val="14"/>
        </w:numPr>
        <w:spacing w:before="0" w:after="0"/>
        <w:rPr>
          <w:sz w:val="20"/>
          <w:szCs w:val="20"/>
        </w:rPr>
      </w:pPr>
      <w:r>
        <w:rPr>
          <w:rStyle w:val="None"/>
          <w:sz w:val="20"/>
          <w:szCs w:val="20"/>
        </w:rPr>
        <w:t>Nov 7, 2023</w:t>
      </w:r>
    </w:p>
    <w:p w14:paraId="5475D01D" w14:textId="77777777" w:rsidR="005B5ABF" w:rsidRDefault="00DB686F">
      <w:pPr>
        <w:pStyle w:val="ListParagraph"/>
        <w:numPr>
          <w:ilvl w:val="1"/>
          <w:numId w:val="14"/>
        </w:numPr>
        <w:spacing w:before="0" w:after="0"/>
        <w:rPr>
          <w:sz w:val="20"/>
          <w:szCs w:val="20"/>
        </w:rPr>
      </w:pPr>
      <w:r>
        <w:rPr>
          <w:rStyle w:val="None"/>
          <w:sz w:val="20"/>
          <w:szCs w:val="20"/>
        </w:rPr>
        <w:t>Nov 21, 2023</w:t>
      </w:r>
    </w:p>
    <w:p w14:paraId="46BDD362" w14:textId="77777777" w:rsidR="005B5ABF" w:rsidRDefault="00DB686F">
      <w:pPr>
        <w:pStyle w:val="ListParagraph"/>
        <w:numPr>
          <w:ilvl w:val="1"/>
          <w:numId w:val="14"/>
        </w:numPr>
        <w:spacing w:before="0" w:after="0"/>
        <w:rPr>
          <w:sz w:val="20"/>
          <w:szCs w:val="20"/>
        </w:rPr>
      </w:pPr>
      <w:r>
        <w:rPr>
          <w:rStyle w:val="None"/>
          <w:sz w:val="20"/>
          <w:szCs w:val="20"/>
        </w:rPr>
        <w:t>Dec 5, 2023</w:t>
      </w:r>
    </w:p>
    <w:p w14:paraId="7B633130" w14:textId="77777777" w:rsidR="005B5ABF" w:rsidRDefault="005B5ABF">
      <w:pPr>
        <w:pStyle w:val="ListParagraph"/>
        <w:spacing w:before="0" w:after="0"/>
        <w:ind w:left="1497"/>
        <w:rPr>
          <w:rStyle w:val="None"/>
          <w:sz w:val="20"/>
          <w:szCs w:val="20"/>
        </w:rPr>
      </w:pPr>
    </w:p>
    <w:p w14:paraId="2762EF6E" w14:textId="77777777" w:rsidR="005B5ABF" w:rsidRDefault="00DB686F">
      <w:pPr>
        <w:pStyle w:val="ListParagraph"/>
        <w:numPr>
          <w:ilvl w:val="1"/>
          <w:numId w:val="14"/>
        </w:numPr>
        <w:spacing w:before="0" w:after="0"/>
        <w:rPr>
          <w:sz w:val="20"/>
          <w:szCs w:val="20"/>
        </w:rPr>
      </w:pPr>
      <w:r>
        <w:rPr>
          <w:rStyle w:val="None"/>
          <w:sz w:val="20"/>
          <w:szCs w:val="20"/>
        </w:rPr>
        <w:t>Jan 23, 2024</w:t>
      </w:r>
    </w:p>
    <w:p w14:paraId="19882581" w14:textId="77777777" w:rsidR="005B5ABF" w:rsidRDefault="00DB686F">
      <w:pPr>
        <w:pStyle w:val="ListParagraph"/>
        <w:numPr>
          <w:ilvl w:val="1"/>
          <w:numId w:val="14"/>
        </w:numPr>
        <w:spacing w:before="0" w:after="0"/>
        <w:rPr>
          <w:sz w:val="20"/>
          <w:szCs w:val="20"/>
        </w:rPr>
      </w:pPr>
      <w:r>
        <w:rPr>
          <w:rStyle w:val="None"/>
          <w:sz w:val="20"/>
          <w:szCs w:val="20"/>
        </w:rPr>
        <w:t>Feb 6, 2024</w:t>
      </w:r>
    </w:p>
    <w:p w14:paraId="171397D6" w14:textId="77777777" w:rsidR="005B5ABF" w:rsidRDefault="00DB686F">
      <w:pPr>
        <w:pStyle w:val="ListParagraph"/>
        <w:numPr>
          <w:ilvl w:val="1"/>
          <w:numId w:val="14"/>
        </w:numPr>
        <w:spacing w:before="0" w:after="0"/>
        <w:rPr>
          <w:sz w:val="20"/>
          <w:szCs w:val="20"/>
        </w:rPr>
      </w:pPr>
      <w:r>
        <w:rPr>
          <w:rStyle w:val="None"/>
          <w:sz w:val="20"/>
          <w:szCs w:val="20"/>
        </w:rPr>
        <w:t>Feb 20, 2024</w:t>
      </w:r>
    </w:p>
    <w:p w14:paraId="65B4BBA4" w14:textId="77777777" w:rsidR="005B5ABF" w:rsidRDefault="00DB686F">
      <w:pPr>
        <w:pStyle w:val="ListParagraph"/>
        <w:numPr>
          <w:ilvl w:val="1"/>
          <w:numId w:val="14"/>
        </w:numPr>
        <w:spacing w:before="0" w:after="0"/>
        <w:rPr>
          <w:sz w:val="20"/>
          <w:szCs w:val="20"/>
        </w:rPr>
      </w:pPr>
      <w:r>
        <w:rPr>
          <w:rStyle w:val="None"/>
          <w:sz w:val="20"/>
          <w:szCs w:val="20"/>
        </w:rPr>
        <w:t>March 5, 2024</w:t>
      </w:r>
    </w:p>
    <w:p w14:paraId="618F66AE" w14:textId="77777777" w:rsidR="005B5ABF" w:rsidRDefault="00DB686F">
      <w:pPr>
        <w:pStyle w:val="ListParagraph"/>
        <w:numPr>
          <w:ilvl w:val="1"/>
          <w:numId w:val="14"/>
        </w:numPr>
        <w:spacing w:before="0" w:after="0"/>
        <w:rPr>
          <w:sz w:val="20"/>
          <w:szCs w:val="20"/>
        </w:rPr>
      </w:pPr>
      <w:r>
        <w:rPr>
          <w:rStyle w:val="None"/>
          <w:sz w:val="20"/>
          <w:szCs w:val="20"/>
        </w:rPr>
        <w:t>March 19, 2024</w:t>
      </w:r>
    </w:p>
    <w:p w14:paraId="556314D3" w14:textId="77777777" w:rsidR="005B5ABF" w:rsidRDefault="00DB686F">
      <w:pPr>
        <w:pStyle w:val="ListParagraph"/>
        <w:numPr>
          <w:ilvl w:val="1"/>
          <w:numId w:val="14"/>
        </w:numPr>
        <w:spacing w:before="0" w:after="0"/>
        <w:rPr>
          <w:sz w:val="20"/>
          <w:szCs w:val="20"/>
        </w:rPr>
      </w:pPr>
      <w:r>
        <w:rPr>
          <w:rStyle w:val="None"/>
          <w:sz w:val="20"/>
          <w:szCs w:val="20"/>
        </w:rPr>
        <w:t>April 2, 2024</w:t>
      </w:r>
    </w:p>
    <w:p w14:paraId="5522C6E8" w14:textId="77777777" w:rsidR="005B5ABF" w:rsidRDefault="00DB686F">
      <w:pPr>
        <w:pStyle w:val="ListParagraph"/>
        <w:numPr>
          <w:ilvl w:val="1"/>
          <w:numId w:val="14"/>
        </w:numPr>
        <w:spacing w:before="0" w:after="0"/>
        <w:rPr>
          <w:sz w:val="20"/>
          <w:szCs w:val="20"/>
        </w:rPr>
      </w:pPr>
      <w:r>
        <w:rPr>
          <w:rStyle w:val="None"/>
          <w:sz w:val="20"/>
          <w:szCs w:val="20"/>
        </w:rPr>
        <w:t>April 16, 2024</w:t>
      </w:r>
    </w:p>
    <w:p w14:paraId="32358D78" w14:textId="77777777" w:rsidR="005B5ABF" w:rsidRDefault="00DB686F">
      <w:pPr>
        <w:pStyle w:val="ListParagraph"/>
        <w:numPr>
          <w:ilvl w:val="1"/>
          <w:numId w:val="14"/>
        </w:numPr>
        <w:spacing w:before="0" w:after="0"/>
        <w:rPr>
          <w:sz w:val="20"/>
          <w:szCs w:val="20"/>
        </w:rPr>
      </w:pPr>
      <w:r>
        <w:rPr>
          <w:rStyle w:val="None"/>
          <w:sz w:val="20"/>
          <w:szCs w:val="20"/>
        </w:rPr>
        <w:t>May 7, 2024</w:t>
      </w:r>
      <w:r>
        <w:rPr>
          <w:rStyle w:val="None"/>
          <w:sz w:val="20"/>
          <w:szCs w:val="20"/>
        </w:rPr>
        <w:tab/>
      </w:r>
    </w:p>
    <w:p w14:paraId="4B81109B" w14:textId="77777777" w:rsidR="005B5ABF" w:rsidRDefault="005B5ABF">
      <w:pPr>
        <w:pStyle w:val="ListParagraph"/>
        <w:spacing w:before="0" w:after="0"/>
        <w:sectPr w:rsidR="005B5ABF">
          <w:type w:val="continuous"/>
          <w:pgSz w:w="12240" w:h="15840"/>
          <w:pgMar w:top="1440" w:right="1080" w:bottom="1440" w:left="1080" w:header="720" w:footer="720" w:gutter="0"/>
          <w:cols w:num="2" w:space="720"/>
        </w:sectPr>
      </w:pPr>
    </w:p>
    <w:p w14:paraId="3166E63F" w14:textId="77777777" w:rsidR="005B5ABF" w:rsidRDefault="00DB686F">
      <w:pPr>
        <w:pStyle w:val="Heading2"/>
      </w:pPr>
      <w:bookmarkStart w:id="3" w:name="_Land_Acknowledgements"/>
      <w:bookmarkEnd w:id="3"/>
      <w:r>
        <w:rPr>
          <w:rStyle w:val="None"/>
        </w:rPr>
        <w:t>Land Acknowledgements</w:t>
      </w:r>
    </w:p>
    <w:p w14:paraId="539BD3DB" w14:textId="77777777" w:rsidR="005B5ABF" w:rsidRDefault="00374F1D">
      <w:pPr>
        <w:pStyle w:val="Body"/>
        <w:shd w:val="clear" w:color="auto" w:fill="FFFFFF"/>
        <w:spacing w:before="0" w:after="168"/>
        <w:outlineLvl w:val="1"/>
        <w:rPr>
          <w:rStyle w:val="None"/>
          <w:color w:val="292E38"/>
          <w:sz w:val="20"/>
          <w:szCs w:val="20"/>
          <w:u w:color="292E38"/>
        </w:rPr>
      </w:pPr>
      <w:hyperlink r:id="rId23" w:history="1">
        <w:r w:rsidR="00DB686F">
          <w:rPr>
            <w:rStyle w:val="Hyperlink0"/>
          </w:rPr>
          <w:t>Los Rios Community College District Indigenous Land Acknowledgment Statement</w:t>
        </w:r>
      </w:hyperlink>
      <w:r w:rsidR="00DB686F">
        <w:rPr>
          <w:rStyle w:val="None"/>
          <w:color w:val="292E38"/>
          <w:sz w:val="20"/>
          <w:szCs w:val="20"/>
          <w:u w:color="292E38"/>
        </w:rPr>
        <w:b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DB686F">
        <w:rPr>
          <w:rStyle w:val="None"/>
          <w:color w:val="292E38"/>
          <w:sz w:val="20"/>
          <w:szCs w:val="20"/>
          <w:u w:color="292E38"/>
        </w:rPr>
        <w:b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14:paraId="1C1B51A7" w14:textId="77777777" w:rsidR="005B5ABF" w:rsidRDefault="005B5ABF">
      <w:pPr>
        <w:pStyle w:val="Body"/>
      </w:pPr>
    </w:p>
    <w:p w14:paraId="5F182605" w14:textId="77777777" w:rsidR="005B5ABF" w:rsidRDefault="00374F1D">
      <w:pPr>
        <w:pStyle w:val="Body"/>
        <w:rPr>
          <w:rStyle w:val="Hyperlink0"/>
        </w:rPr>
      </w:pPr>
      <w:hyperlink r:id="rId24" w:anchor=":~:text=We%2520acknowledge%2520the%2520land%2520which,Maidu%252C%2520and%2520Miwok%2520tribal%2520nations.&amp;text=Despite%2520centuries%2520of%2520genocide%2520and,both%2520Federally%2520recognized%2520and%2520unrecognized." w:history="1">
        <w:r w:rsidR="00DB686F">
          <w:rPr>
            <w:rStyle w:val="Hyperlink0"/>
          </w:rPr>
          <w:t>ARC Indigenous Land Statement</w:t>
        </w:r>
      </w:hyperlink>
    </w:p>
    <w:p w14:paraId="3C776A0E" w14:textId="77777777" w:rsidR="005B5ABF" w:rsidRDefault="00DB686F">
      <w:pPr>
        <w:pStyle w:val="Body"/>
        <w:spacing w:after="240"/>
        <w:rPr>
          <w:rStyle w:val="None"/>
          <w:sz w:val="20"/>
          <w:szCs w:val="20"/>
          <w:shd w:val="clear" w:color="auto" w:fill="FFFFFF"/>
        </w:rPr>
      </w:pPr>
      <w:r>
        <w:rPr>
          <w:rStyle w:val="None"/>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4C2C6590" w14:textId="77777777" w:rsidR="005B5ABF" w:rsidRDefault="00374F1D">
      <w:pPr>
        <w:pStyle w:val="Body"/>
        <w:rPr>
          <w:rStyle w:val="None"/>
          <w:sz w:val="20"/>
          <w:szCs w:val="20"/>
        </w:rPr>
      </w:pPr>
      <w:hyperlink r:id="rId25" w:history="1">
        <w:r w:rsidR="00DB686F">
          <w:rPr>
            <w:rStyle w:val="Hyperlink0"/>
          </w:rPr>
          <w:t>CRC Land Acknowledgement</w:t>
        </w:r>
      </w:hyperlink>
    </w:p>
    <w:p w14:paraId="5E413448" w14:textId="77777777" w:rsidR="005B5ABF" w:rsidRDefault="00DB686F">
      <w:pPr>
        <w:pStyle w:val="Body"/>
        <w:spacing w:after="240"/>
        <w:rPr>
          <w:rStyle w:val="None"/>
          <w:sz w:val="20"/>
          <w:szCs w:val="20"/>
          <w:shd w:val="clear" w:color="auto" w:fill="FFFFFF"/>
        </w:rPr>
      </w:pPr>
      <w:r>
        <w:rPr>
          <w:rStyle w:val="None"/>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67F8860" w14:textId="77777777" w:rsidR="005B5ABF" w:rsidRDefault="00374F1D">
      <w:pPr>
        <w:pStyle w:val="Body"/>
        <w:rPr>
          <w:rStyle w:val="None"/>
          <w:sz w:val="20"/>
          <w:szCs w:val="20"/>
        </w:rPr>
      </w:pPr>
      <w:hyperlink r:id="rId26" w:history="1">
        <w:r w:rsidR="00DB686F">
          <w:rPr>
            <w:rStyle w:val="Hyperlink0"/>
          </w:rPr>
          <w:t>FLC Land Acknowledgement</w:t>
        </w:r>
      </w:hyperlink>
    </w:p>
    <w:p w14:paraId="659F72A9" w14:textId="77777777" w:rsidR="005B5ABF" w:rsidRDefault="00DB686F">
      <w:pPr>
        <w:pStyle w:val="Body"/>
        <w:spacing w:after="240"/>
        <w:rPr>
          <w:rStyle w:val="None"/>
          <w:sz w:val="20"/>
          <w:szCs w:val="20"/>
          <w:shd w:val="clear" w:color="auto" w:fill="FFFFFF"/>
        </w:rPr>
      </w:pPr>
      <w:r>
        <w:rPr>
          <w:rStyle w:val="None"/>
          <w:sz w:val="20"/>
          <w:szCs w:val="20"/>
          <w:shd w:val="clear" w:color="auto" w:fill="FFFFFF"/>
        </w:rPr>
        <w:lastRenderedPageBreak/>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30FEA88B" w14:textId="77777777" w:rsidR="005B5ABF" w:rsidRDefault="00374F1D">
      <w:pPr>
        <w:pStyle w:val="Body"/>
        <w:rPr>
          <w:rStyle w:val="None"/>
          <w:sz w:val="20"/>
          <w:szCs w:val="20"/>
          <w:shd w:val="clear" w:color="auto" w:fill="FFFFFF"/>
        </w:rPr>
      </w:pPr>
      <w:hyperlink r:id="rId27" w:history="1">
        <w:r w:rsidR="00DB686F">
          <w:rPr>
            <w:rStyle w:val="Hyperlink3"/>
          </w:rPr>
          <w:t>SCC Land Acknowledgement</w:t>
        </w:r>
      </w:hyperlink>
    </w:p>
    <w:p w14:paraId="3494AC98" w14:textId="5FECA98A" w:rsidR="005B5ABF" w:rsidRDefault="00DB686F">
      <w:pPr>
        <w:pStyle w:val="Body"/>
        <w:spacing w:after="240"/>
        <w:rPr>
          <w:rStyle w:val="None"/>
          <w:sz w:val="20"/>
          <w:szCs w:val="20"/>
        </w:rPr>
      </w:pPr>
      <w:r>
        <w:rPr>
          <w:rStyle w:val="None"/>
          <w:sz w:val="20"/>
          <w:szCs w:val="20"/>
          <w:shd w:val="clear" w:color="auto" w:fill="FFFFFF"/>
        </w:rPr>
        <w:t>“</w:t>
      </w:r>
      <w:r>
        <w:rPr>
          <w:rStyle w:val="None"/>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1A9B9E08" w14:textId="77777777" w:rsidR="00A008CB" w:rsidRPr="00AC3FD8" w:rsidRDefault="00A008CB" w:rsidP="00A008CB">
      <w:pPr>
        <w:spacing w:before="120" w:after="240"/>
        <w:rPr>
          <w:rFonts w:ascii="Calibri" w:eastAsia="Calibri" w:hAnsi="Calibri" w:cs="Calibri"/>
          <w:b/>
          <w:bCs/>
          <w:color w:val="01050A"/>
          <w:sz w:val="26"/>
          <w:szCs w:val="26"/>
        </w:rPr>
      </w:pPr>
      <w:r w:rsidRPr="00AC3FD8">
        <w:rPr>
          <w:rFonts w:ascii="Calibri" w:eastAsia="Calibri" w:hAnsi="Calibri" w:cs="Calibri"/>
          <w:b/>
          <w:bCs/>
          <w:color w:val="01050A"/>
          <w:sz w:val="26"/>
          <w:szCs w:val="26"/>
        </w:rPr>
        <w:t>Supplemental Materials:</w:t>
      </w:r>
    </w:p>
    <w:p w14:paraId="5F0A6BA0" w14:textId="77777777" w:rsidR="00A008CB" w:rsidRPr="00AC3FD8" w:rsidRDefault="00A008CB" w:rsidP="00A008CB">
      <w:pPr>
        <w:autoSpaceDE w:val="0"/>
        <w:autoSpaceDN w:val="0"/>
        <w:adjustRightInd w:val="0"/>
        <w:rPr>
          <w:rFonts w:ascii="Calibri" w:hAnsi="Calibri" w:cs="Calibri"/>
          <w:b/>
          <w:bCs/>
          <w:sz w:val="22"/>
          <w:szCs w:val="22"/>
        </w:rPr>
      </w:pPr>
      <w:bookmarkStart w:id="4" w:name="noncredit"/>
      <w:r w:rsidRPr="00AC3FD8">
        <w:rPr>
          <w:rFonts w:ascii="Calibri" w:hAnsi="Calibri" w:cs="Calibri"/>
          <w:b/>
          <w:bCs/>
          <w:sz w:val="22"/>
          <w:szCs w:val="22"/>
        </w:rPr>
        <w:t xml:space="preserve">The Noncredit </w:t>
      </w:r>
      <w:bookmarkEnd w:id="4"/>
      <w:r w:rsidRPr="00AC3FD8">
        <w:rPr>
          <w:rFonts w:ascii="Calibri" w:hAnsi="Calibri" w:cs="Calibri"/>
          <w:b/>
          <w:bCs/>
          <w:sz w:val="22"/>
          <w:szCs w:val="22"/>
        </w:rPr>
        <w:t>Task Group’s Recommendation to the Los Rios District</w:t>
      </w:r>
    </w:p>
    <w:p w14:paraId="2DCFC759" w14:textId="77777777" w:rsidR="00A008CB" w:rsidRPr="00AC3FD8" w:rsidRDefault="00A008CB" w:rsidP="00A008CB">
      <w:pPr>
        <w:autoSpaceDE w:val="0"/>
        <w:autoSpaceDN w:val="0"/>
        <w:adjustRightInd w:val="0"/>
        <w:rPr>
          <w:rFonts w:ascii="Calibri" w:hAnsi="Calibri" w:cs="Calibri"/>
          <w:b/>
          <w:bCs/>
          <w:sz w:val="22"/>
          <w:szCs w:val="22"/>
        </w:rPr>
      </w:pPr>
      <w:r w:rsidRPr="00AC3FD8">
        <w:rPr>
          <w:rFonts w:ascii="Calibri" w:hAnsi="Calibri" w:cs="Calibri"/>
          <w:b/>
          <w:bCs/>
          <w:sz w:val="22"/>
          <w:szCs w:val="22"/>
        </w:rPr>
        <w:t>Academic Senate</w:t>
      </w:r>
    </w:p>
    <w:p w14:paraId="171F5C3A" w14:textId="77777777" w:rsidR="00A008CB" w:rsidRPr="00AC3FD8" w:rsidRDefault="00A008CB" w:rsidP="00A008CB">
      <w:pPr>
        <w:autoSpaceDE w:val="0"/>
        <w:autoSpaceDN w:val="0"/>
        <w:adjustRightInd w:val="0"/>
        <w:rPr>
          <w:rFonts w:ascii="Calibri" w:hAnsi="Calibri" w:cs="Calibri"/>
          <w:sz w:val="22"/>
          <w:szCs w:val="22"/>
        </w:rPr>
      </w:pPr>
    </w:p>
    <w:p w14:paraId="2921EE12"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At our final meeting, the Noncredit Task Group discussed four possible options for Los Rios with</w:t>
      </w:r>
    </w:p>
    <w:p w14:paraId="15B6E994"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respect to noncredit instruction:</w:t>
      </w:r>
    </w:p>
    <w:p w14:paraId="252B9FB8" w14:textId="77777777" w:rsidR="00A008CB" w:rsidRPr="00AC3FD8" w:rsidRDefault="00A008CB" w:rsidP="00A008CB">
      <w:pPr>
        <w:autoSpaceDE w:val="0"/>
        <w:autoSpaceDN w:val="0"/>
        <w:adjustRightInd w:val="0"/>
        <w:rPr>
          <w:rFonts w:ascii="Calibri" w:hAnsi="Calibri" w:cs="Calibri"/>
          <w:b/>
          <w:bCs/>
          <w:sz w:val="22"/>
          <w:szCs w:val="22"/>
        </w:rPr>
      </w:pPr>
      <w:r w:rsidRPr="00AC3FD8">
        <w:rPr>
          <w:rFonts w:ascii="Calibri" w:hAnsi="Calibri" w:cs="Calibri"/>
          <w:sz w:val="22"/>
          <w:szCs w:val="22"/>
        </w:rPr>
        <w:t xml:space="preserve">• </w:t>
      </w:r>
      <w:r w:rsidRPr="00AC3FD8">
        <w:rPr>
          <w:rFonts w:ascii="Calibri" w:hAnsi="Calibri" w:cs="Calibri"/>
          <w:b/>
          <w:bCs/>
          <w:sz w:val="22"/>
          <w:szCs w:val="22"/>
        </w:rPr>
        <w:t>Option 1: Do not implement noncredit instruction within Los Rios.</w:t>
      </w:r>
    </w:p>
    <w:p w14:paraId="159B1E3A" w14:textId="77777777" w:rsidR="00A008CB" w:rsidRPr="00AC3FD8" w:rsidRDefault="00A008CB" w:rsidP="00A008CB">
      <w:pPr>
        <w:autoSpaceDE w:val="0"/>
        <w:autoSpaceDN w:val="0"/>
        <w:adjustRightInd w:val="0"/>
        <w:rPr>
          <w:rFonts w:ascii="Calibri" w:hAnsi="Calibri" w:cs="Calibri"/>
          <w:b/>
          <w:bCs/>
          <w:sz w:val="22"/>
          <w:szCs w:val="22"/>
        </w:rPr>
      </w:pPr>
      <w:r w:rsidRPr="00AC3FD8">
        <w:rPr>
          <w:rFonts w:ascii="Calibri" w:hAnsi="Calibri" w:cs="Calibri"/>
          <w:sz w:val="22"/>
          <w:szCs w:val="22"/>
        </w:rPr>
        <w:t xml:space="preserve">• </w:t>
      </w:r>
      <w:r w:rsidRPr="00AC3FD8">
        <w:rPr>
          <w:rFonts w:ascii="Calibri" w:hAnsi="Calibri" w:cs="Calibri"/>
          <w:b/>
          <w:bCs/>
          <w:sz w:val="22"/>
          <w:szCs w:val="22"/>
        </w:rPr>
        <w:t>Option 2: Implement noncredit instruction along with credit instruction immediately</w:t>
      </w:r>
    </w:p>
    <w:p w14:paraId="7AE35C60" w14:textId="77777777" w:rsidR="00A008CB" w:rsidRPr="00AC3FD8" w:rsidRDefault="00A008CB" w:rsidP="00A008CB">
      <w:pPr>
        <w:autoSpaceDE w:val="0"/>
        <w:autoSpaceDN w:val="0"/>
        <w:adjustRightInd w:val="0"/>
        <w:rPr>
          <w:rFonts w:ascii="Calibri" w:hAnsi="Calibri" w:cs="Calibri"/>
          <w:b/>
          <w:bCs/>
          <w:sz w:val="22"/>
          <w:szCs w:val="22"/>
        </w:rPr>
      </w:pPr>
      <w:r w:rsidRPr="00AC3FD8">
        <w:rPr>
          <w:rFonts w:ascii="Calibri" w:hAnsi="Calibri" w:cs="Calibri"/>
          <w:b/>
          <w:bCs/>
          <w:sz w:val="22"/>
          <w:szCs w:val="22"/>
        </w:rPr>
        <w:t>at all campuses.</w:t>
      </w:r>
    </w:p>
    <w:p w14:paraId="7F5BCFC0" w14:textId="77777777" w:rsidR="00A008CB" w:rsidRPr="00AC3FD8" w:rsidRDefault="00A008CB" w:rsidP="00A008CB">
      <w:pPr>
        <w:autoSpaceDE w:val="0"/>
        <w:autoSpaceDN w:val="0"/>
        <w:adjustRightInd w:val="0"/>
        <w:rPr>
          <w:rFonts w:ascii="Calibri" w:hAnsi="Calibri" w:cs="Calibri"/>
          <w:b/>
          <w:bCs/>
          <w:sz w:val="22"/>
          <w:szCs w:val="22"/>
        </w:rPr>
      </w:pPr>
      <w:r w:rsidRPr="00AC3FD8">
        <w:rPr>
          <w:rFonts w:ascii="Calibri" w:hAnsi="Calibri" w:cs="Calibri"/>
          <w:sz w:val="22"/>
          <w:szCs w:val="22"/>
        </w:rPr>
        <w:t xml:space="preserve">• </w:t>
      </w:r>
      <w:r w:rsidRPr="00AC3FD8">
        <w:rPr>
          <w:rFonts w:ascii="Calibri" w:hAnsi="Calibri" w:cs="Calibri"/>
          <w:b/>
          <w:bCs/>
          <w:sz w:val="22"/>
          <w:szCs w:val="22"/>
        </w:rPr>
        <w:t>Option 3: Start noncredit instruction within Los Rios via a phased approach.</w:t>
      </w:r>
    </w:p>
    <w:p w14:paraId="003DE2C7" w14:textId="77777777" w:rsidR="00A008CB" w:rsidRPr="00AC3FD8" w:rsidRDefault="00A008CB" w:rsidP="00A008CB">
      <w:pPr>
        <w:autoSpaceDE w:val="0"/>
        <w:autoSpaceDN w:val="0"/>
        <w:adjustRightInd w:val="0"/>
        <w:rPr>
          <w:rFonts w:ascii="Calibri" w:hAnsi="Calibri" w:cs="Calibri"/>
          <w:b/>
          <w:bCs/>
          <w:sz w:val="22"/>
          <w:szCs w:val="22"/>
        </w:rPr>
      </w:pPr>
      <w:r w:rsidRPr="00AC3FD8">
        <w:rPr>
          <w:rFonts w:ascii="Calibri" w:hAnsi="Calibri" w:cs="Calibri"/>
          <w:sz w:val="22"/>
          <w:szCs w:val="22"/>
        </w:rPr>
        <w:t xml:space="preserve">• </w:t>
      </w:r>
      <w:r w:rsidRPr="00AC3FD8">
        <w:rPr>
          <w:rFonts w:ascii="Calibri" w:hAnsi="Calibri" w:cs="Calibri"/>
          <w:b/>
          <w:bCs/>
          <w:sz w:val="22"/>
          <w:szCs w:val="22"/>
        </w:rPr>
        <w:t xml:space="preserve">Option 4: Los Rios should support the continuance of the </w:t>
      </w:r>
      <w:proofErr w:type="gramStart"/>
      <w:r w:rsidRPr="00AC3FD8">
        <w:rPr>
          <w:rFonts w:ascii="Calibri" w:hAnsi="Calibri" w:cs="Calibri"/>
          <w:b/>
          <w:bCs/>
          <w:sz w:val="22"/>
          <w:szCs w:val="22"/>
        </w:rPr>
        <w:t>District</w:t>
      </w:r>
      <w:proofErr w:type="gramEnd"/>
      <w:r w:rsidRPr="00AC3FD8">
        <w:rPr>
          <w:rFonts w:ascii="Calibri" w:hAnsi="Calibri" w:cs="Calibri"/>
          <w:b/>
          <w:bCs/>
          <w:sz w:val="22"/>
          <w:szCs w:val="22"/>
        </w:rPr>
        <w:t xml:space="preserve"> faculty noncredit workgroup</w:t>
      </w:r>
    </w:p>
    <w:p w14:paraId="6131A0AB" w14:textId="77777777" w:rsidR="00A008CB" w:rsidRPr="00AC3FD8" w:rsidRDefault="00A008CB" w:rsidP="00A008CB">
      <w:pPr>
        <w:autoSpaceDE w:val="0"/>
        <w:autoSpaceDN w:val="0"/>
        <w:adjustRightInd w:val="0"/>
        <w:rPr>
          <w:rFonts w:ascii="Calibri" w:hAnsi="Calibri" w:cs="Calibri"/>
          <w:b/>
          <w:bCs/>
          <w:sz w:val="22"/>
          <w:szCs w:val="22"/>
        </w:rPr>
      </w:pPr>
      <w:r w:rsidRPr="00AC3FD8">
        <w:rPr>
          <w:rFonts w:ascii="Calibri" w:hAnsi="Calibri" w:cs="Calibri"/>
          <w:b/>
          <w:bCs/>
          <w:sz w:val="22"/>
          <w:szCs w:val="22"/>
        </w:rPr>
        <w:t>in order to make a fully informed recommendation on noncredit.</w:t>
      </w:r>
    </w:p>
    <w:p w14:paraId="47ED98B0" w14:textId="77777777" w:rsidR="00A008CB" w:rsidRPr="00AC3FD8" w:rsidRDefault="00A008CB" w:rsidP="00A008CB">
      <w:pPr>
        <w:autoSpaceDE w:val="0"/>
        <w:autoSpaceDN w:val="0"/>
        <w:adjustRightInd w:val="0"/>
        <w:rPr>
          <w:rFonts w:ascii="Calibri" w:hAnsi="Calibri" w:cs="Calibri"/>
          <w:sz w:val="22"/>
          <w:szCs w:val="22"/>
        </w:rPr>
      </w:pPr>
    </w:p>
    <w:p w14:paraId="010774A1"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Task group members voted on the options and the majority (8 out of 13 — 61.5%) prefer</w:t>
      </w:r>
    </w:p>
    <w:p w14:paraId="1611EC0E"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Option 3, that Los Rios start noncredit instruction with a phased approach. The remainder of</w:t>
      </w:r>
    </w:p>
    <w:p w14:paraId="489984F7"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 xml:space="preserve">the group (5 out of 13 — 38.5%) preferred Option 4, that the </w:t>
      </w:r>
      <w:proofErr w:type="gramStart"/>
      <w:r w:rsidRPr="00AC3FD8">
        <w:rPr>
          <w:rFonts w:ascii="Calibri" w:hAnsi="Calibri" w:cs="Calibri"/>
          <w:sz w:val="22"/>
          <w:szCs w:val="22"/>
        </w:rPr>
        <w:t>District</w:t>
      </w:r>
      <w:proofErr w:type="gramEnd"/>
      <w:r w:rsidRPr="00AC3FD8">
        <w:rPr>
          <w:rFonts w:ascii="Calibri" w:hAnsi="Calibri" w:cs="Calibri"/>
          <w:sz w:val="22"/>
          <w:szCs w:val="22"/>
        </w:rPr>
        <w:t xml:space="preserve"> faculty noncredit</w:t>
      </w:r>
    </w:p>
    <w:p w14:paraId="448EDFB2"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workgroup continue its work in order to make a fully informed recommendation on noncredit.</w:t>
      </w:r>
    </w:p>
    <w:p w14:paraId="3828774C"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No members of the group voted in favor of Option 1 or 2.</w:t>
      </w:r>
    </w:p>
    <w:p w14:paraId="03756AF7"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Here is the complete description of the recommended option from the Noncredit Task Group:</w:t>
      </w:r>
    </w:p>
    <w:p w14:paraId="4A953CBA" w14:textId="77777777" w:rsidR="00A008CB" w:rsidRPr="00AC3FD8" w:rsidRDefault="00A008CB" w:rsidP="00A008CB">
      <w:pPr>
        <w:autoSpaceDE w:val="0"/>
        <w:autoSpaceDN w:val="0"/>
        <w:adjustRightInd w:val="0"/>
        <w:rPr>
          <w:rFonts w:ascii="Calibri" w:hAnsi="Calibri" w:cs="Calibri"/>
          <w:b/>
          <w:bCs/>
          <w:sz w:val="22"/>
          <w:szCs w:val="22"/>
        </w:rPr>
      </w:pPr>
    </w:p>
    <w:p w14:paraId="5A4791D9" w14:textId="77777777" w:rsidR="00A008CB" w:rsidRPr="00AC3FD8" w:rsidRDefault="00A008CB" w:rsidP="00A008CB">
      <w:pPr>
        <w:autoSpaceDE w:val="0"/>
        <w:autoSpaceDN w:val="0"/>
        <w:adjustRightInd w:val="0"/>
        <w:rPr>
          <w:rFonts w:ascii="Calibri" w:hAnsi="Calibri" w:cs="Calibri"/>
          <w:b/>
          <w:bCs/>
          <w:sz w:val="22"/>
          <w:szCs w:val="22"/>
        </w:rPr>
      </w:pPr>
      <w:r w:rsidRPr="00AC3FD8">
        <w:rPr>
          <w:rFonts w:ascii="Calibri" w:hAnsi="Calibri" w:cs="Calibri"/>
          <w:b/>
          <w:bCs/>
          <w:sz w:val="22"/>
          <w:szCs w:val="22"/>
        </w:rPr>
        <w:t>Start noncredit instruction within Los Rios via a phased approach.</w:t>
      </w:r>
    </w:p>
    <w:p w14:paraId="06B3095A"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It is the recommendation of our committee that Los Rios begin offering noncredit instruction in</w:t>
      </w:r>
    </w:p>
    <w:p w14:paraId="1D7A7B2B" w14:textId="77777777" w:rsidR="00A008CB"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a considered, phased approach.</w:t>
      </w:r>
    </w:p>
    <w:p w14:paraId="7ED3E04E" w14:textId="77777777" w:rsidR="00A008CB" w:rsidRPr="00AC3FD8" w:rsidRDefault="00A008CB" w:rsidP="00A008CB">
      <w:pPr>
        <w:autoSpaceDE w:val="0"/>
        <w:autoSpaceDN w:val="0"/>
        <w:adjustRightInd w:val="0"/>
        <w:rPr>
          <w:rFonts w:ascii="Calibri" w:hAnsi="Calibri" w:cs="Calibri"/>
          <w:i/>
          <w:iCs/>
          <w:sz w:val="22"/>
          <w:szCs w:val="22"/>
        </w:rPr>
      </w:pPr>
    </w:p>
    <w:p w14:paraId="21511FAD" w14:textId="77777777" w:rsidR="00A008CB" w:rsidRPr="00AC3FD8" w:rsidRDefault="00A008CB" w:rsidP="00A008CB">
      <w:pPr>
        <w:autoSpaceDE w:val="0"/>
        <w:autoSpaceDN w:val="0"/>
        <w:adjustRightInd w:val="0"/>
        <w:rPr>
          <w:rFonts w:ascii="Calibri" w:hAnsi="Calibri" w:cs="Calibri"/>
          <w:b/>
          <w:bCs/>
          <w:sz w:val="22"/>
          <w:szCs w:val="22"/>
        </w:rPr>
      </w:pPr>
      <w:r w:rsidRPr="00AC3FD8">
        <w:rPr>
          <w:rFonts w:ascii="Calibri" w:hAnsi="Calibri" w:cs="Calibri"/>
          <w:sz w:val="22"/>
          <w:szCs w:val="22"/>
        </w:rPr>
        <w:t xml:space="preserve">• </w:t>
      </w:r>
      <w:r w:rsidRPr="00AC3FD8">
        <w:rPr>
          <w:rFonts w:ascii="Calibri" w:hAnsi="Calibri" w:cs="Calibri"/>
          <w:b/>
          <w:bCs/>
          <w:sz w:val="22"/>
          <w:szCs w:val="22"/>
        </w:rPr>
        <w:t>Feasibility phase:</w:t>
      </w:r>
    </w:p>
    <w:p w14:paraId="4038F5C2"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In the feasibility phase, a small team of Los Rios faculty and administrators will begin a</w:t>
      </w:r>
    </w:p>
    <w:p w14:paraId="6438D902"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top-to-bottom analysis of the logistics for implementing noncredit instruction in Los Rios.</w:t>
      </w:r>
    </w:p>
    <w:p w14:paraId="73EA1124"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Small, targeted pilot projects in noncredit may be part of the feasibility phase. If it is</w:t>
      </w:r>
    </w:p>
    <w:p w14:paraId="75A09619"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learned during the feasibility phase that it does not make curricular or financial sense for</w:t>
      </w:r>
    </w:p>
    <w:p w14:paraId="2CAB3F62"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Los Rios to offer noncredit instruction, work on noncredit will stop and Los Rios will</w:t>
      </w:r>
    </w:p>
    <w:p w14:paraId="40AB67A5"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continue with the status quo.</w:t>
      </w:r>
    </w:p>
    <w:p w14:paraId="0AB40501" w14:textId="77777777" w:rsidR="00A008CB" w:rsidRPr="00AC3FD8" w:rsidRDefault="00A008CB" w:rsidP="00A008CB">
      <w:pPr>
        <w:autoSpaceDE w:val="0"/>
        <w:autoSpaceDN w:val="0"/>
        <w:adjustRightInd w:val="0"/>
        <w:rPr>
          <w:rFonts w:ascii="Calibri" w:hAnsi="Calibri" w:cs="Calibri"/>
          <w:b/>
          <w:bCs/>
          <w:sz w:val="22"/>
          <w:szCs w:val="22"/>
        </w:rPr>
      </w:pPr>
      <w:r w:rsidRPr="00AC3FD8">
        <w:rPr>
          <w:rFonts w:ascii="Calibri" w:hAnsi="Calibri" w:cs="Calibri"/>
          <w:sz w:val="22"/>
          <w:szCs w:val="22"/>
        </w:rPr>
        <w:t xml:space="preserve">• </w:t>
      </w:r>
      <w:r w:rsidRPr="00AC3FD8">
        <w:rPr>
          <w:rFonts w:ascii="Calibri" w:hAnsi="Calibri" w:cs="Calibri"/>
          <w:b/>
          <w:bCs/>
          <w:sz w:val="22"/>
          <w:szCs w:val="22"/>
        </w:rPr>
        <w:t>Implementation phase:</w:t>
      </w:r>
    </w:p>
    <w:p w14:paraId="3730A598"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If the feasibility phase is successful, Los Rios would begin the implementation phase of</w:t>
      </w:r>
    </w:p>
    <w:p w14:paraId="604D94D4"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lastRenderedPageBreak/>
        <w:t>noncredit instruction. In this phase, Los Rios will begin advertising and offering its</w:t>
      </w:r>
    </w:p>
    <w:p w14:paraId="1B537657"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noncredit courses and programs. Ideally, the roll-out of noncredit instruction will be</w:t>
      </w:r>
    </w:p>
    <w:p w14:paraId="6BEF9B9A"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 xml:space="preserve">according to a strategic plan identifying subject areas that make the most sense for </w:t>
      </w:r>
      <w:proofErr w:type="gramStart"/>
      <w:r w:rsidRPr="00AC3FD8">
        <w:rPr>
          <w:rFonts w:ascii="Calibri" w:hAnsi="Calibri" w:cs="Calibri"/>
          <w:i/>
          <w:iCs/>
          <w:sz w:val="22"/>
          <w:szCs w:val="22"/>
        </w:rPr>
        <w:t>our</w:t>
      </w:r>
      <w:proofErr w:type="gramEnd"/>
    </w:p>
    <w:p w14:paraId="62316565"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region.</w:t>
      </w:r>
    </w:p>
    <w:p w14:paraId="1C0BB6AD" w14:textId="77777777" w:rsidR="00A008CB" w:rsidRPr="00AC3FD8" w:rsidRDefault="00A008CB" w:rsidP="00A008CB">
      <w:pPr>
        <w:autoSpaceDE w:val="0"/>
        <w:autoSpaceDN w:val="0"/>
        <w:adjustRightInd w:val="0"/>
        <w:rPr>
          <w:rFonts w:ascii="Calibri" w:hAnsi="Calibri" w:cs="Calibri"/>
          <w:b/>
          <w:bCs/>
          <w:sz w:val="22"/>
          <w:szCs w:val="22"/>
        </w:rPr>
      </w:pPr>
      <w:r w:rsidRPr="00AC3FD8">
        <w:rPr>
          <w:rFonts w:ascii="Calibri" w:hAnsi="Calibri" w:cs="Calibri"/>
          <w:sz w:val="22"/>
          <w:szCs w:val="22"/>
        </w:rPr>
        <w:t xml:space="preserve">• </w:t>
      </w:r>
      <w:r w:rsidRPr="00AC3FD8">
        <w:rPr>
          <w:rFonts w:ascii="Calibri" w:hAnsi="Calibri" w:cs="Calibri"/>
          <w:b/>
          <w:bCs/>
          <w:sz w:val="22"/>
          <w:szCs w:val="22"/>
        </w:rPr>
        <w:t>Evaluation phase:</w:t>
      </w:r>
    </w:p>
    <w:p w14:paraId="086BBC4E"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Lastly, there would be an evaluation phase to understand what is working and not</w:t>
      </w:r>
    </w:p>
    <w:p w14:paraId="2823AB51" w14:textId="77777777" w:rsidR="00A008CB" w:rsidRPr="00AC3FD8"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working in noncredit instruction within Los Rios and there would be discussions about</w:t>
      </w:r>
    </w:p>
    <w:p w14:paraId="7B7017FE" w14:textId="77777777" w:rsidR="00A008CB" w:rsidRDefault="00A008CB" w:rsidP="00A008CB">
      <w:pPr>
        <w:autoSpaceDE w:val="0"/>
        <w:autoSpaceDN w:val="0"/>
        <w:adjustRightInd w:val="0"/>
        <w:rPr>
          <w:rFonts w:ascii="Calibri" w:hAnsi="Calibri" w:cs="Calibri"/>
          <w:i/>
          <w:iCs/>
          <w:sz w:val="22"/>
          <w:szCs w:val="22"/>
        </w:rPr>
      </w:pPr>
      <w:r w:rsidRPr="00AC3FD8">
        <w:rPr>
          <w:rFonts w:ascii="Calibri" w:hAnsi="Calibri" w:cs="Calibri"/>
          <w:i/>
          <w:iCs/>
          <w:sz w:val="22"/>
          <w:szCs w:val="22"/>
        </w:rPr>
        <w:t>the appropriate amount of noncredit that Los Rios should be offering.</w:t>
      </w:r>
    </w:p>
    <w:p w14:paraId="165555C0" w14:textId="77777777" w:rsidR="00A008CB" w:rsidRPr="00AC3FD8" w:rsidRDefault="00A008CB" w:rsidP="00A008CB">
      <w:pPr>
        <w:autoSpaceDE w:val="0"/>
        <w:autoSpaceDN w:val="0"/>
        <w:adjustRightInd w:val="0"/>
        <w:rPr>
          <w:rFonts w:ascii="Calibri" w:hAnsi="Calibri" w:cs="Calibri"/>
          <w:i/>
          <w:iCs/>
          <w:sz w:val="22"/>
          <w:szCs w:val="22"/>
        </w:rPr>
      </w:pPr>
    </w:p>
    <w:p w14:paraId="62C75E92" w14:textId="77777777" w:rsidR="00A008CB" w:rsidRPr="00AC3FD8" w:rsidRDefault="00A008CB" w:rsidP="00A008CB">
      <w:pPr>
        <w:autoSpaceDE w:val="0"/>
        <w:autoSpaceDN w:val="0"/>
        <w:adjustRightInd w:val="0"/>
        <w:rPr>
          <w:rFonts w:ascii="Calibri" w:hAnsi="Calibri" w:cs="Calibri"/>
          <w:b/>
          <w:bCs/>
          <w:i/>
          <w:iCs/>
          <w:sz w:val="22"/>
          <w:szCs w:val="22"/>
        </w:rPr>
      </w:pPr>
      <w:r w:rsidRPr="00AC3FD8">
        <w:rPr>
          <w:rFonts w:ascii="Calibri" w:hAnsi="Calibri" w:cs="Calibri"/>
          <w:b/>
          <w:bCs/>
          <w:i/>
          <w:iCs/>
          <w:sz w:val="22"/>
          <w:szCs w:val="22"/>
        </w:rPr>
        <w:t>Reasons and Considerations:</w:t>
      </w:r>
    </w:p>
    <w:p w14:paraId="1583ED3F"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 The State offers apportionment for noncredit instruction. Los Rios is losing money that</w:t>
      </w:r>
    </w:p>
    <w:p w14:paraId="01313413"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they could be earning by not offering any noncredit instruction. Furthermore, some</w:t>
      </w:r>
    </w:p>
    <w:p w14:paraId="57A77A7E"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types of noncredit instruction receive apportionment at the same rate as credit</w:t>
      </w:r>
    </w:p>
    <w:p w14:paraId="4F131974"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instruction. During the feasibility and implementation phases, it may make sense to</w:t>
      </w:r>
    </w:p>
    <w:p w14:paraId="2AC448BD"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identify the types of noncredit instructional opportunities with the highest</w:t>
      </w:r>
    </w:p>
    <w:p w14:paraId="47274D15" w14:textId="77777777" w:rsidR="00A008CB"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apportionment rates and target those areas for the first noncredit offerings.</w:t>
      </w:r>
    </w:p>
    <w:p w14:paraId="49C4F0FA" w14:textId="77777777" w:rsidR="00A008CB" w:rsidRPr="00AC3FD8" w:rsidRDefault="00A008CB" w:rsidP="00A008CB">
      <w:pPr>
        <w:autoSpaceDE w:val="0"/>
        <w:autoSpaceDN w:val="0"/>
        <w:adjustRightInd w:val="0"/>
        <w:rPr>
          <w:rFonts w:ascii="Calibri" w:hAnsi="Calibri" w:cs="Calibri"/>
          <w:sz w:val="22"/>
          <w:szCs w:val="22"/>
        </w:rPr>
      </w:pPr>
    </w:p>
    <w:p w14:paraId="235D7233"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 The noncredit offerings of our K-12 partners appear to be somewhat focused on basic</w:t>
      </w:r>
    </w:p>
    <w:p w14:paraId="52F2DE07"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skill acquisition. Therefore, it may make sense that we concentrate our initial roll-out</w:t>
      </w:r>
    </w:p>
    <w:p w14:paraId="4A3C81AB" w14:textId="77777777" w:rsidR="00A008CB"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efforts in noncredit with Career and Technical Education (CTE) offerings.</w:t>
      </w:r>
    </w:p>
    <w:p w14:paraId="0E474FC5" w14:textId="77777777" w:rsidR="00A008CB" w:rsidRPr="00AC3FD8" w:rsidRDefault="00A008CB" w:rsidP="00A008CB">
      <w:pPr>
        <w:autoSpaceDE w:val="0"/>
        <w:autoSpaceDN w:val="0"/>
        <w:adjustRightInd w:val="0"/>
        <w:rPr>
          <w:rFonts w:ascii="Calibri" w:hAnsi="Calibri" w:cs="Calibri"/>
          <w:sz w:val="22"/>
          <w:szCs w:val="22"/>
        </w:rPr>
      </w:pPr>
    </w:p>
    <w:p w14:paraId="60CBF974"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 Noncredit instruction has some unique reporting requirements to the state Chancellor’s</w:t>
      </w:r>
    </w:p>
    <w:p w14:paraId="0C2DBC86"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Office (CCCCO). Rather than task individual administrators or department with figuring</w:t>
      </w:r>
    </w:p>
    <w:p w14:paraId="51A60AF0"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these reporting requirements and regulations out on their own, it may make sense to</w:t>
      </w:r>
    </w:p>
    <w:p w14:paraId="69FE841C"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have a central office to coordinate all of a college’s noncredit offerings across all</w:t>
      </w:r>
    </w:p>
    <w:p w14:paraId="641F07BA" w14:textId="77777777" w:rsidR="00A008CB"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departments prior to rollout.</w:t>
      </w:r>
    </w:p>
    <w:p w14:paraId="15785772" w14:textId="77777777" w:rsidR="00A008CB" w:rsidRPr="00AC3FD8" w:rsidRDefault="00A008CB" w:rsidP="00A008CB">
      <w:pPr>
        <w:autoSpaceDE w:val="0"/>
        <w:autoSpaceDN w:val="0"/>
        <w:adjustRightInd w:val="0"/>
        <w:rPr>
          <w:rFonts w:ascii="Calibri" w:hAnsi="Calibri" w:cs="Calibri"/>
          <w:sz w:val="22"/>
          <w:szCs w:val="22"/>
        </w:rPr>
      </w:pPr>
    </w:p>
    <w:p w14:paraId="44BF60F8"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 Noncredit instruction is most likely to be successful with faculty who are comfortable</w:t>
      </w:r>
    </w:p>
    <w:p w14:paraId="7CF7D88A"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with noncredit and excited about using it in their discipline to achieve certain</w:t>
      </w:r>
    </w:p>
    <w:p w14:paraId="4B3B2D27"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educational goals. For this reason, we recommend that any feasibility pilot or</w:t>
      </w:r>
    </w:p>
    <w:p w14:paraId="3840174C"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 xml:space="preserve">implementation of noncredit instruction </w:t>
      </w:r>
      <w:proofErr w:type="gramStart"/>
      <w:r w:rsidRPr="00AC3FD8">
        <w:rPr>
          <w:rFonts w:ascii="Calibri" w:hAnsi="Calibri" w:cs="Calibri"/>
          <w:sz w:val="22"/>
          <w:szCs w:val="22"/>
        </w:rPr>
        <w:t>seek</w:t>
      </w:r>
      <w:proofErr w:type="gramEnd"/>
      <w:r w:rsidRPr="00AC3FD8">
        <w:rPr>
          <w:rFonts w:ascii="Calibri" w:hAnsi="Calibri" w:cs="Calibri"/>
          <w:sz w:val="22"/>
          <w:szCs w:val="22"/>
        </w:rPr>
        <w:t xml:space="preserve"> out faculty volunteers rather than attempt</w:t>
      </w:r>
    </w:p>
    <w:p w14:paraId="0DCA8831" w14:textId="77777777" w:rsidR="00A008CB"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whole sale conversion of departments from credit to noncredit.</w:t>
      </w:r>
    </w:p>
    <w:p w14:paraId="2DD78184" w14:textId="77777777" w:rsidR="00A008CB" w:rsidRPr="00AC3FD8" w:rsidRDefault="00A008CB" w:rsidP="00A008CB">
      <w:pPr>
        <w:autoSpaceDE w:val="0"/>
        <w:autoSpaceDN w:val="0"/>
        <w:adjustRightInd w:val="0"/>
        <w:rPr>
          <w:rFonts w:ascii="Calibri" w:hAnsi="Calibri" w:cs="Calibri"/>
          <w:sz w:val="22"/>
          <w:szCs w:val="22"/>
        </w:rPr>
      </w:pPr>
    </w:p>
    <w:p w14:paraId="3F9063E5"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 Faculty should have the academic freedom to make the decision as a department to</w:t>
      </w:r>
    </w:p>
    <w:p w14:paraId="215511D9"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whether or not to implement noncredit based upon the needs of the students and the</w:t>
      </w:r>
    </w:p>
    <w:p w14:paraId="579A7A83" w14:textId="77777777" w:rsidR="00A008CB"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program.</w:t>
      </w:r>
    </w:p>
    <w:p w14:paraId="5C5AD4C5" w14:textId="77777777" w:rsidR="00A008CB" w:rsidRPr="00AC3FD8" w:rsidRDefault="00A008CB" w:rsidP="00A008CB">
      <w:pPr>
        <w:autoSpaceDE w:val="0"/>
        <w:autoSpaceDN w:val="0"/>
        <w:adjustRightInd w:val="0"/>
        <w:rPr>
          <w:rFonts w:ascii="Calibri" w:hAnsi="Calibri" w:cs="Calibri"/>
          <w:sz w:val="22"/>
          <w:szCs w:val="22"/>
        </w:rPr>
      </w:pPr>
    </w:p>
    <w:p w14:paraId="23A179F6"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 Noncredit is constructed differently from the formula hours of credit instruction. For</w:t>
      </w:r>
    </w:p>
    <w:p w14:paraId="04D09788"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example, courses are typically open-entry and open-exit, and, while students receive</w:t>
      </w:r>
    </w:p>
    <w:p w14:paraId="5151E29E"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assessments about their learning/performance from professors, they do not receive</w:t>
      </w:r>
    </w:p>
    <w:p w14:paraId="4D6FB9AA"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grades. For noncredit implementation, these differences between credit and noncredit</w:t>
      </w:r>
    </w:p>
    <w:p w14:paraId="523288AC"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would lead to different working conditions for faculty which will need to be carefully</w:t>
      </w:r>
    </w:p>
    <w:p w14:paraId="77B2071F" w14:textId="77777777" w:rsidR="00A008CB"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explored, discussed, and negotiated by Los Rios management and LRCFT (faculty union).</w:t>
      </w:r>
    </w:p>
    <w:p w14:paraId="03C82BE6" w14:textId="77777777" w:rsidR="00A008CB" w:rsidRPr="00AC3FD8" w:rsidRDefault="00A008CB" w:rsidP="00A008CB">
      <w:pPr>
        <w:autoSpaceDE w:val="0"/>
        <w:autoSpaceDN w:val="0"/>
        <w:adjustRightInd w:val="0"/>
        <w:rPr>
          <w:rFonts w:ascii="Calibri" w:hAnsi="Calibri" w:cs="Calibri"/>
          <w:sz w:val="22"/>
          <w:szCs w:val="22"/>
        </w:rPr>
      </w:pPr>
    </w:p>
    <w:p w14:paraId="3148BEF1"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 There is a significant institutional learning curve if Los Rios were to implement noncredit</w:t>
      </w:r>
    </w:p>
    <w:p w14:paraId="4ED1F9B8"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instruction. Those responsible for curriculum and MIS reporting related to noncredit will</w:t>
      </w:r>
    </w:p>
    <w:p w14:paraId="6865DD56" w14:textId="77777777" w:rsidR="00A008CB"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need additional information and perhaps training in how to process noncredit.</w:t>
      </w:r>
    </w:p>
    <w:p w14:paraId="26E90FC0" w14:textId="77777777" w:rsidR="00A008CB" w:rsidRPr="00AC3FD8" w:rsidRDefault="00A008CB" w:rsidP="00A008CB">
      <w:pPr>
        <w:autoSpaceDE w:val="0"/>
        <w:autoSpaceDN w:val="0"/>
        <w:adjustRightInd w:val="0"/>
        <w:rPr>
          <w:rFonts w:ascii="Calibri" w:hAnsi="Calibri" w:cs="Calibri"/>
          <w:sz w:val="22"/>
          <w:szCs w:val="22"/>
        </w:rPr>
      </w:pPr>
    </w:p>
    <w:p w14:paraId="560DF49E"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lastRenderedPageBreak/>
        <w:t>• Student support services are critical to equitable student success and should be involved</w:t>
      </w:r>
    </w:p>
    <w:p w14:paraId="706E3041"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from the start to create a good foundation for students. Successful noncredit</w:t>
      </w:r>
    </w:p>
    <w:p w14:paraId="4E3E2C2B"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programming on a wider scale will require investment in and building an infrastructure</w:t>
      </w:r>
    </w:p>
    <w:p w14:paraId="42313F85"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so that students receive adequate information, counseling and support for success and</w:t>
      </w:r>
    </w:p>
    <w:p w14:paraId="765E993F" w14:textId="77777777" w:rsidR="00A008CB"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to ensure equity.</w:t>
      </w:r>
    </w:p>
    <w:p w14:paraId="2629EE1D" w14:textId="77777777" w:rsidR="00A008CB" w:rsidRPr="00AC3FD8" w:rsidRDefault="00A008CB" w:rsidP="00A008CB">
      <w:pPr>
        <w:autoSpaceDE w:val="0"/>
        <w:autoSpaceDN w:val="0"/>
        <w:adjustRightInd w:val="0"/>
        <w:rPr>
          <w:rFonts w:ascii="Calibri" w:hAnsi="Calibri" w:cs="Calibri"/>
          <w:sz w:val="22"/>
          <w:szCs w:val="22"/>
        </w:rPr>
      </w:pPr>
    </w:p>
    <w:p w14:paraId="31A09B7D"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 Members of the current faculty noncredit task group have developed expertise in</w:t>
      </w:r>
    </w:p>
    <w:p w14:paraId="7979D2CA"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certain areas or aspects of noncredit. It may make sense to appoint members of the</w:t>
      </w:r>
    </w:p>
    <w:p w14:paraId="51987B0E"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current faculty task group to any subsequent, multiple-constituency,</w:t>
      </w:r>
    </w:p>
    <w:p w14:paraId="61B5A2AC" w14:textId="77777777" w:rsidR="00A008CB"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feasibility/implementation planning committee for noncredit.</w:t>
      </w:r>
    </w:p>
    <w:p w14:paraId="102E917B" w14:textId="77777777" w:rsidR="00A008CB" w:rsidRPr="00AC3FD8" w:rsidRDefault="00A008CB" w:rsidP="00A008CB">
      <w:pPr>
        <w:autoSpaceDE w:val="0"/>
        <w:autoSpaceDN w:val="0"/>
        <w:adjustRightInd w:val="0"/>
        <w:rPr>
          <w:rFonts w:ascii="Calibri" w:hAnsi="Calibri" w:cs="Calibri"/>
          <w:sz w:val="22"/>
          <w:szCs w:val="22"/>
        </w:rPr>
      </w:pPr>
    </w:p>
    <w:p w14:paraId="658FCBDC"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 Prior to implementation of noncredit in a particular department, consider data and</w:t>
      </w:r>
    </w:p>
    <w:p w14:paraId="588CAF41"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community need as much as possible and available. There may be gaps in the data and</w:t>
      </w:r>
    </w:p>
    <w:p w14:paraId="282C45E1" w14:textId="77777777" w:rsidR="00A008CB" w:rsidRPr="00AC3FD8"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faculty may need to be creative in selecting data sources and analyzing trends. Ask</w:t>
      </w:r>
    </w:p>
    <w:p w14:paraId="4581867B" w14:textId="77777777" w:rsidR="00A008CB" w:rsidRDefault="00A008CB" w:rsidP="00A008CB">
      <w:pPr>
        <w:autoSpaceDE w:val="0"/>
        <w:autoSpaceDN w:val="0"/>
        <w:adjustRightInd w:val="0"/>
        <w:rPr>
          <w:rFonts w:ascii="Calibri" w:hAnsi="Calibri" w:cs="Calibri"/>
          <w:sz w:val="22"/>
          <w:szCs w:val="22"/>
        </w:rPr>
      </w:pPr>
      <w:r w:rsidRPr="00AC3FD8">
        <w:rPr>
          <w:rFonts w:ascii="Calibri" w:hAnsi="Calibri" w:cs="Calibri"/>
          <w:sz w:val="22"/>
          <w:szCs w:val="22"/>
        </w:rPr>
        <w:t>districts with noncredit if they have a template or resources (factors to consider) that</w:t>
      </w:r>
      <w:r>
        <w:rPr>
          <w:rFonts w:ascii="Calibri" w:hAnsi="Calibri" w:cs="Calibri"/>
          <w:sz w:val="22"/>
          <w:szCs w:val="22"/>
        </w:rPr>
        <w:t xml:space="preserve"> </w:t>
      </w:r>
      <w:r w:rsidRPr="00AC3FD8">
        <w:rPr>
          <w:rFonts w:ascii="Calibri" w:hAnsi="Calibri" w:cs="Calibri"/>
          <w:sz w:val="22"/>
          <w:szCs w:val="22"/>
        </w:rPr>
        <w:t>faculty can use when deciding about noncredit.</w:t>
      </w:r>
    </w:p>
    <w:p w14:paraId="6A728B03" w14:textId="77777777" w:rsidR="00E830E2" w:rsidRDefault="00E830E2" w:rsidP="00E830E2">
      <w:pPr>
        <w:rPr>
          <w:rFonts w:ascii="Corbel" w:hAnsi="Corbel"/>
          <w:b/>
          <w:sz w:val="28"/>
        </w:rPr>
      </w:pPr>
    </w:p>
    <w:p w14:paraId="4924D84B" w14:textId="58450235" w:rsidR="00E830E2" w:rsidRDefault="00E830E2" w:rsidP="00E830E2">
      <w:pPr>
        <w:rPr>
          <w:rFonts w:ascii="Corbel" w:hAnsi="Corbel"/>
          <w:b/>
          <w:sz w:val="28"/>
        </w:rPr>
      </w:pPr>
      <w:bookmarkStart w:id="5" w:name="work_exp"/>
      <w:r w:rsidRPr="00624218">
        <w:rPr>
          <w:rFonts w:ascii="Corbel" w:hAnsi="Corbel"/>
          <w:b/>
          <w:sz w:val="28"/>
        </w:rPr>
        <w:t xml:space="preserve">Work Experience </w:t>
      </w:r>
      <w:bookmarkEnd w:id="5"/>
      <w:r w:rsidRPr="00624218">
        <w:rPr>
          <w:rFonts w:ascii="Corbel" w:hAnsi="Corbel"/>
          <w:b/>
          <w:sz w:val="28"/>
        </w:rPr>
        <w:t xml:space="preserve">&amp; Internship Committee of the District Academic Senate </w:t>
      </w:r>
    </w:p>
    <w:p w14:paraId="258A9528" w14:textId="77777777" w:rsidR="00E830E2" w:rsidRPr="00624218" w:rsidRDefault="00E830E2" w:rsidP="00E830E2">
      <w:pPr>
        <w:rPr>
          <w:rFonts w:ascii="Corbel" w:hAnsi="Corbel"/>
          <w:b/>
          <w:sz w:val="28"/>
        </w:rPr>
      </w:pPr>
      <w:r>
        <w:rPr>
          <w:rFonts w:ascii="Corbel" w:hAnsi="Corbel"/>
          <w:b/>
          <w:sz w:val="28"/>
        </w:rPr>
        <w:t>Recommendation</w:t>
      </w:r>
    </w:p>
    <w:p w14:paraId="5088E630" w14:textId="77777777" w:rsidR="00E830E2" w:rsidRPr="00624218" w:rsidRDefault="00E830E2" w:rsidP="00E830E2">
      <w:pPr>
        <w:rPr>
          <w:rFonts w:ascii="Corbel" w:hAnsi="Corbel"/>
          <w:b/>
        </w:rPr>
      </w:pPr>
    </w:p>
    <w:p w14:paraId="2EF3A44B" w14:textId="77777777" w:rsidR="00E830E2" w:rsidRPr="00624218" w:rsidRDefault="00E830E2" w:rsidP="00E830E2">
      <w:pPr>
        <w:rPr>
          <w:rFonts w:ascii="Corbel" w:hAnsi="Corbel"/>
          <w:b/>
        </w:rPr>
      </w:pPr>
      <w:r w:rsidRPr="00624218">
        <w:rPr>
          <w:rFonts w:ascii="Corbel" w:hAnsi="Corbel"/>
          <w:b/>
        </w:rPr>
        <w:t>Description</w:t>
      </w:r>
    </w:p>
    <w:p w14:paraId="53F29774" w14:textId="77777777" w:rsidR="00E830E2" w:rsidRDefault="00E830E2" w:rsidP="00E830E2">
      <w:pPr>
        <w:rPr>
          <w:rFonts w:ascii="Corbel" w:hAnsi="Corbel"/>
        </w:rPr>
      </w:pPr>
      <w:r w:rsidRPr="00624218">
        <w:rPr>
          <w:rFonts w:ascii="Corbel" w:hAnsi="Corbel"/>
        </w:rPr>
        <w:t xml:space="preserve">The purpose of the Work Experience &amp; Internship </w:t>
      </w:r>
      <w:r>
        <w:rPr>
          <w:rFonts w:ascii="Corbel" w:hAnsi="Corbel"/>
        </w:rPr>
        <w:t>Committee is to review and refine the scope of work and implementation plan for expanding paid internships across the district, including roles and responsibilities, tools and resources, communication strategies, and workflow.  Specific tasks include:</w:t>
      </w:r>
    </w:p>
    <w:p w14:paraId="1CA91E8D" w14:textId="77777777" w:rsidR="00E830E2"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Pr>
          <w:rFonts w:ascii="Corbel" w:hAnsi="Corbel"/>
          <w:sz w:val="24"/>
        </w:rPr>
        <w:t>R</w:t>
      </w:r>
      <w:r w:rsidRPr="00624218">
        <w:rPr>
          <w:rFonts w:ascii="Corbel" w:hAnsi="Corbel"/>
          <w:sz w:val="24"/>
        </w:rPr>
        <w:t>eview and refine the job description</w:t>
      </w:r>
      <w:r>
        <w:rPr>
          <w:rFonts w:ascii="Corbel" w:hAnsi="Corbel"/>
          <w:sz w:val="24"/>
        </w:rPr>
        <w:t xml:space="preserve"> and reporting structure</w:t>
      </w:r>
      <w:r w:rsidRPr="00624218">
        <w:rPr>
          <w:rFonts w:ascii="Corbel" w:hAnsi="Corbel"/>
          <w:sz w:val="24"/>
        </w:rPr>
        <w:t xml:space="preserve"> for t</w:t>
      </w:r>
      <w:r>
        <w:rPr>
          <w:rFonts w:ascii="Corbel" w:hAnsi="Corbel"/>
          <w:sz w:val="24"/>
        </w:rPr>
        <w:t xml:space="preserve">he </w:t>
      </w:r>
      <w:bookmarkStart w:id="6" w:name="OLE_LINK1"/>
      <w:bookmarkStart w:id="7" w:name="OLE_LINK2"/>
      <w:r>
        <w:rPr>
          <w:rFonts w:ascii="Corbel" w:hAnsi="Corbel"/>
          <w:sz w:val="24"/>
        </w:rPr>
        <w:t>Sector I</w:t>
      </w:r>
      <w:r w:rsidRPr="00624218">
        <w:rPr>
          <w:rFonts w:ascii="Corbel" w:hAnsi="Corbel"/>
          <w:sz w:val="24"/>
        </w:rPr>
        <w:t>nternsh</w:t>
      </w:r>
      <w:r>
        <w:rPr>
          <w:rFonts w:ascii="Corbel" w:hAnsi="Corbel"/>
          <w:sz w:val="24"/>
        </w:rPr>
        <w:t>ip D</w:t>
      </w:r>
      <w:r w:rsidRPr="00624218">
        <w:rPr>
          <w:rFonts w:ascii="Corbel" w:hAnsi="Corbel"/>
          <w:sz w:val="24"/>
        </w:rPr>
        <w:t>evelopers</w:t>
      </w:r>
      <w:bookmarkEnd w:id="6"/>
      <w:bookmarkEnd w:id="7"/>
    </w:p>
    <w:p w14:paraId="1F05BFCC" w14:textId="77777777" w:rsidR="00E830E2"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Pr>
          <w:rFonts w:ascii="Corbel" w:hAnsi="Corbel"/>
          <w:sz w:val="24"/>
        </w:rPr>
        <w:t>Develop consistent branding for internship opportunities</w:t>
      </w:r>
    </w:p>
    <w:p w14:paraId="3A9BADE8" w14:textId="77777777" w:rsidR="00E830E2"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Pr>
          <w:rFonts w:ascii="Corbel" w:hAnsi="Corbel"/>
          <w:sz w:val="24"/>
        </w:rPr>
        <w:t xml:space="preserve">Develop a process for communicating outreach efforts, including an exploration of </w:t>
      </w:r>
      <w:proofErr w:type="spellStart"/>
      <w:r>
        <w:rPr>
          <w:rFonts w:ascii="Corbel" w:hAnsi="Corbel"/>
          <w:sz w:val="24"/>
        </w:rPr>
        <w:t>Hubspot</w:t>
      </w:r>
      <w:proofErr w:type="spellEnd"/>
      <w:r>
        <w:rPr>
          <w:rFonts w:ascii="Corbel" w:hAnsi="Corbel"/>
          <w:sz w:val="24"/>
        </w:rPr>
        <w:t xml:space="preserve"> and Handshake</w:t>
      </w:r>
    </w:p>
    <w:p w14:paraId="016B6AFC" w14:textId="77777777" w:rsidR="00E830E2"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Pr>
          <w:rFonts w:ascii="Corbel" w:hAnsi="Corbel"/>
          <w:sz w:val="24"/>
        </w:rPr>
        <w:t xml:space="preserve">Develop a training plan for new staff </w:t>
      </w:r>
    </w:p>
    <w:p w14:paraId="10F406E3" w14:textId="77777777" w:rsidR="00E830E2"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Pr>
          <w:rFonts w:ascii="Corbel" w:hAnsi="Corbel"/>
          <w:sz w:val="24"/>
        </w:rPr>
        <w:t xml:space="preserve">Develop a communication plan for each college </w:t>
      </w:r>
    </w:p>
    <w:p w14:paraId="7CB8F4ED" w14:textId="77777777" w:rsidR="00E830E2"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Pr>
          <w:rFonts w:ascii="Corbel" w:hAnsi="Corbel"/>
          <w:sz w:val="24"/>
        </w:rPr>
        <w:t>Consider models for identifying gaps/areas of need for employer recruitment</w:t>
      </w:r>
    </w:p>
    <w:p w14:paraId="5E9911DB" w14:textId="77777777" w:rsidR="00E830E2" w:rsidRPr="00624218" w:rsidRDefault="00E830E2" w:rsidP="00E830E2">
      <w:pPr>
        <w:rPr>
          <w:rFonts w:ascii="Corbel" w:hAnsi="Corbel"/>
        </w:rPr>
      </w:pPr>
    </w:p>
    <w:p w14:paraId="314EFA6B" w14:textId="77777777" w:rsidR="00E830E2" w:rsidRDefault="00E830E2" w:rsidP="00E830E2">
      <w:pPr>
        <w:rPr>
          <w:rFonts w:ascii="Corbel" w:hAnsi="Corbel"/>
          <w:b/>
        </w:rPr>
      </w:pPr>
      <w:r w:rsidRPr="00624218">
        <w:rPr>
          <w:rFonts w:ascii="Corbel" w:hAnsi="Corbel"/>
          <w:b/>
        </w:rPr>
        <w:t>Composition</w:t>
      </w:r>
    </w:p>
    <w:p w14:paraId="3DE99803" w14:textId="77777777" w:rsidR="00E830E2"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Pr>
          <w:rFonts w:ascii="Corbel" w:hAnsi="Corbel"/>
          <w:sz w:val="24"/>
        </w:rPr>
        <w:t xml:space="preserve">Co-chairs: </w:t>
      </w:r>
      <w:r w:rsidRPr="00492D81">
        <w:rPr>
          <w:rFonts w:ascii="Corbel" w:hAnsi="Corbel"/>
          <w:sz w:val="24"/>
        </w:rPr>
        <w:t>DAS President or designee and Theresa Milan</w:t>
      </w:r>
    </w:p>
    <w:p w14:paraId="45798D52" w14:textId="77777777" w:rsidR="00E830E2" w:rsidRPr="005035C1"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sidRPr="005035C1">
        <w:rPr>
          <w:rFonts w:ascii="Corbel" w:hAnsi="Corbel"/>
          <w:sz w:val="24"/>
        </w:rPr>
        <w:t>Work Experience Coordinators (</w:t>
      </w:r>
      <w:r>
        <w:rPr>
          <w:rFonts w:ascii="Corbel" w:hAnsi="Corbel"/>
          <w:sz w:val="24"/>
        </w:rPr>
        <w:t>Vivian Dillon, Julie Collier and Tracey Hodge</w:t>
      </w:r>
      <w:r w:rsidRPr="005035C1">
        <w:rPr>
          <w:rFonts w:ascii="Corbel" w:hAnsi="Corbel"/>
          <w:sz w:val="24"/>
        </w:rPr>
        <w:t>)</w:t>
      </w:r>
    </w:p>
    <w:p w14:paraId="632F61A5" w14:textId="77777777" w:rsidR="00E830E2"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sidRPr="005035C1">
        <w:rPr>
          <w:rFonts w:ascii="Corbel" w:hAnsi="Corbel"/>
          <w:sz w:val="24"/>
        </w:rPr>
        <w:t>Sector Internship Developers (</w:t>
      </w:r>
      <w:r>
        <w:rPr>
          <w:rFonts w:ascii="Corbel" w:hAnsi="Corbel"/>
          <w:sz w:val="24"/>
        </w:rPr>
        <w:t>Tara Baker, Trina Stanford, Jessica Charney and Shera Davis)</w:t>
      </w:r>
    </w:p>
    <w:p w14:paraId="2BC1F57F" w14:textId="77777777" w:rsidR="00E830E2" w:rsidRPr="00492D81"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Pr>
          <w:rFonts w:ascii="Corbel" w:hAnsi="Corbel"/>
          <w:sz w:val="24"/>
        </w:rPr>
        <w:t>One CTE faculty representative from each college</w:t>
      </w:r>
    </w:p>
    <w:p w14:paraId="4AF3DAF5" w14:textId="77777777" w:rsidR="00E830E2"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Pr>
          <w:rFonts w:ascii="Corbel" w:hAnsi="Corbel"/>
          <w:sz w:val="24"/>
        </w:rPr>
        <w:t>Classified Staff: Haley Lepper (DO LAEP Coordinator) and Career Center Appointment?</w:t>
      </w:r>
    </w:p>
    <w:p w14:paraId="0823D055" w14:textId="77777777" w:rsidR="00E830E2" w:rsidRPr="007F6D8C"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Pr>
          <w:rFonts w:ascii="Corbel" w:hAnsi="Corbel"/>
          <w:sz w:val="24"/>
        </w:rPr>
        <w:t>Assistant Directors of Employer Partnership (Karen Hubbard, Shinder Gill, and Julie Muir)</w:t>
      </w:r>
    </w:p>
    <w:p w14:paraId="60FC12DC" w14:textId="77777777" w:rsidR="00E830E2"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Pr>
          <w:rFonts w:ascii="Corbel" w:hAnsi="Corbel"/>
          <w:sz w:val="24"/>
        </w:rPr>
        <w:t xml:space="preserve">Managers: Raquel Arata, Dana </w:t>
      </w:r>
      <w:proofErr w:type="spellStart"/>
      <w:r>
        <w:rPr>
          <w:rFonts w:ascii="Corbel" w:hAnsi="Corbel"/>
          <w:sz w:val="24"/>
        </w:rPr>
        <w:t>Wassmer</w:t>
      </w:r>
      <w:proofErr w:type="spellEnd"/>
      <w:r>
        <w:rPr>
          <w:rFonts w:ascii="Corbel" w:hAnsi="Corbel"/>
          <w:sz w:val="24"/>
        </w:rPr>
        <w:t>, Chris Morris, Rick Hodge, and Cynthia Sommer</w:t>
      </w:r>
    </w:p>
    <w:p w14:paraId="416C74CA" w14:textId="77777777" w:rsidR="00E830E2" w:rsidRDefault="00E830E2" w:rsidP="00E830E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rPr>
          <w:rFonts w:ascii="Corbel" w:hAnsi="Corbel"/>
          <w:sz w:val="24"/>
        </w:rPr>
      </w:pPr>
      <w:r>
        <w:rPr>
          <w:rFonts w:ascii="Corbel" w:hAnsi="Corbel"/>
          <w:sz w:val="24"/>
        </w:rPr>
        <w:t xml:space="preserve">Project Management Consultant: Deanna Daly </w:t>
      </w:r>
    </w:p>
    <w:p w14:paraId="6583E55F" w14:textId="5AAD8985" w:rsidR="00417075" w:rsidRDefault="00417075" w:rsidP="00417075">
      <w:pPr>
        <w:pStyle w:val="Heading2"/>
      </w:pPr>
      <w:bookmarkStart w:id="8" w:name="iac"/>
      <w:bookmarkStart w:id="9" w:name="_Toc82602087"/>
      <w:r>
        <w:lastRenderedPageBreak/>
        <w:t xml:space="preserve">District Instructional </w:t>
      </w:r>
      <w:bookmarkEnd w:id="8"/>
      <w:r>
        <w:t>Accessibility Committee</w:t>
      </w:r>
    </w:p>
    <w:p w14:paraId="10035690" w14:textId="77777777" w:rsidR="00417075" w:rsidRDefault="00417075" w:rsidP="00417075">
      <w:pPr>
        <w:pStyle w:val="Heading2"/>
      </w:pPr>
      <w:r>
        <w:t>2022-2023 First-Year Report</w:t>
      </w:r>
    </w:p>
    <w:p w14:paraId="6B1C9F1D" w14:textId="77777777" w:rsidR="00417075" w:rsidRDefault="00417075" w:rsidP="00417075">
      <w:pPr>
        <w:pStyle w:val="Heading2"/>
      </w:pPr>
      <w:r>
        <w:t>April 25, 2023</w:t>
      </w:r>
    </w:p>
    <w:p w14:paraId="08B0F73F" w14:textId="4410FC58" w:rsidR="00417075" w:rsidRDefault="00417075" w:rsidP="00417075">
      <w:pPr>
        <w:pStyle w:val="Heading2"/>
      </w:pPr>
      <w:r>
        <w:t>Co-Chairs: Tammy Montgomery, Kandace Knudson</w:t>
      </w:r>
    </w:p>
    <w:p w14:paraId="0251626D" w14:textId="06410D89" w:rsidR="00417075" w:rsidRDefault="00417075" w:rsidP="00417075">
      <w:pPr>
        <w:pStyle w:val="Heading2"/>
      </w:pPr>
      <w:r w:rsidRPr="00176ABA">
        <w:t>Committee Membership</w:t>
      </w:r>
      <w:bookmarkEnd w:id="9"/>
    </w:p>
    <w:p w14:paraId="0739937E" w14:textId="3E1938B8" w:rsidR="00417075" w:rsidRPr="0049066E" w:rsidRDefault="0049066E" w:rsidP="00417075">
      <w:pPr>
        <w:rPr>
          <w:rFonts w:ascii="Calibri" w:hAnsi="Calibri" w:cs="Calibri"/>
          <w:sz w:val="22"/>
          <w:szCs w:val="22"/>
        </w:rPr>
      </w:pPr>
      <w:r w:rsidRPr="0049066E">
        <w:rPr>
          <w:rFonts w:ascii="Calibri" w:hAnsi="Calibri" w:cs="Calibri"/>
          <w:sz w:val="22"/>
          <w:szCs w:val="22"/>
        </w:rPr>
        <w:t>E</w:t>
      </w:r>
      <w:r w:rsidR="00417075" w:rsidRPr="0049066E">
        <w:rPr>
          <w:rFonts w:ascii="Calibri" w:hAnsi="Calibri" w:cs="Calibri"/>
          <w:sz w:val="22"/>
          <w:szCs w:val="22"/>
        </w:rPr>
        <w:t xml:space="preserve">xcerpt from the </w:t>
      </w:r>
      <w:proofErr w:type="spellStart"/>
      <w:r w:rsidR="00417075" w:rsidRPr="0049066E">
        <w:rPr>
          <w:rFonts w:ascii="Calibri" w:hAnsi="Calibri" w:cs="Calibri"/>
          <w:sz w:val="22"/>
          <w:szCs w:val="22"/>
        </w:rPr>
        <w:t>min</w:t>
      </w:r>
      <w:r w:rsidRPr="0049066E">
        <w:rPr>
          <w:rFonts w:ascii="Calibri" w:hAnsi="Calibri" w:cs="Calibri"/>
          <w:sz w:val="22"/>
          <w:szCs w:val="22"/>
        </w:rPr>
        <w:t>utes</w:t>
      </w:r>
      <w:r w:rsidR="00417075" w:rsidRPr="0049066E">
        <w:rPr>
          <w:rFonts w:ascii="Calibri" w:hAnsi="Calibri" w:cs="Calibri"/>
          <w:sz w:val="22"/>
          <w:szCs w:val="22"/>
        </w:rPr>
        <w:t>s</w:t>
      </w:r>
      <w:proofErr w:type="spellEnd"/>
      <w:r w:rsidR="00417075" w:rsidRPr="0049066E">
        <w:rPr>
          <w:rFonts w:ascii="Calibri" w:hAnsi="Calibri" w:cs="Calibri"/>
          <w:sz w:val="22"/>
          <w:szCs w:val="22"/>
        </w:rPr>
        <w:t xml:space="preserve"> of May 2022 DAS meeting:</w:t>
      </w:r>
    </w:p>
    <w:p w14:paraId="46DBFC7A" w14:textId="77777777" w:rsidR="00417075" w:rsidRPr="0049066E" w:rsidRDefault="00417075" w:rsidP="00417075">
      <w:pPr>
        <w:rPr>
          <w:rFonts w:ascii="Calibri" w:hAnsi="Calibri" w:cs="Calibri"/>
          <w:sz w:val="22"/>
          <w:szCs w:val="22"/>
        </w:rPr>
      </w:pPr>
      <w:r w:rsidRPr="0049066E">
        <w:rPr>
          <w:rFonts w:ascii="Calibri" w:hAnsi="Calibri" w:cs="Calibri"/>
          <w:sz w:val="22"/>
          <w:szCs w:val="22"/>
        </w:rPr>
        <w:t>To ensure consistent leadership under DAS and or shared governance of district accessibility efforts long-term, inclusive of faculty and other constituency groups, DAPIC recommends continuing as a DAS subcommittee named Instructional Accessibility Committee</w:t>
      </w:r>
    </w:p>
    <w:p w14:paraId="0071AB88" w14:textId="77777777" w:rsidR="00417075" w:rsidRPr="0049066E" w:rsidRDefault="00417075" w:rsidP="00417075">
      <w:pPr>
        <w:rPr>
          <w:rFonts w:ascii="Calibri" w:hAnsi="Calibri" w:cs="Calibri"/>
          <w:sz w:val="22"/>
          <w:szCs w:val="22"/>
        </w:rPr>
      </w:pPr>
      <w:r w:rsidRPr="0049066E">
        <w:rPr>
          <w:rFonts w:ascii="Calibri" w:hAnsi="Calibri" w:cs="Calibri"/>
          <w:sz w:val="22"/>
          <w:szCs w:val="22"/>
        </w:rPr>
        <w:t xml:space="preserve"> ● Faculty co-lead with reassigned time (.2-.4) </w:t>
      </w:r>
    </w:p>
    <w:p w14:paraId="23CE3515" w14:textId="77777777" w:rsidR="00417075" w:rsidRPr="0049066E" w:rsidRDefault="00417075" w:rsidP="00417075">
      <w:pPr>
        <w:rPr>
          <w:rFonts w:ascii="Calibri" w:hAnsi="Calibri" w:cs="Calibri"/>
          <w:sz w:val="22"/>
          <w:szCs w:val="22"/>
        </w:rPr>
      </w:pPr>
      <w:r w:rsidRPr="0049066E">
        <w:rPr>
          <w:rFonts w:ascii="Calibri" w:hAnsi="Calibri" w:cs="Calibri"/>
          <w:sz w:val="22"/>
          <w:szCs w:val="22"/>
        </w:rPr>
        <w:t xml:space="preserve">● Administrative district office co-lead (AVC </w:t>
      </w:r>
      <w:proofErr w:type="gramStart"/>
      <w:r w:rsidRPr="0049066E">
        <w:rPr>
          <w:rFonts w:ascii="Calibri" w:hAnsi="Calibri" w:cs="Calibri"/>
          <w:sz w:val="22"/>
          <w:szCs w:val="22"/>
        </w:rPr>
        <w:t>e.g.</w:t>
      </w:r>
      <w:proofErr w:type="gramEnd"/>
      <w:r w:rsidRPr="0049066E">
        <w:rPr>
          <w:rFonts w:ascii="Calibri" w:hAnsi="Calibri" w:cs="Calibri"/>
          <w:sz w:val="22"/>
          <w:szCs w:val="22"/>
        </w:rPr>
        <w:t xml:space="preserve"> IT or instruction) </w:t>
      </w:r>
    </w:p>
    <w:p w14:paraId="38D734B5" w14:textId="77777777" w:rsidR="00417075" w:rsidRPr="0049066E" w:rsidRDefault="00417075" w:rsidP="00417075">
      <w:pPr>
        <w:rPr>
          <w:rFonts w:ascii="Calibri" w:hAnsi="Calibri" w:cs="Calibri"/>
          <w:sz w:val="22"/>
          <w:szCs w:val="22"/>
        </w:rPr>
      </w:pPr>
      <w:r w:rsidRPr="0049066E">
        <w:rPr>
          <w:rFonts w:ascii="Calibri" w:hAnsi="Calibri" w:cs="Calibri"/>
          <w:sz w:val="22"/>
          <w:szCs w:val="22"/>
        </w:rPr>
        <w:t xml:space="preserve">● Faculty members to include instructional (classroom) faculty and accessibility specialists such as DSPS, DE, OCDC [equal numbers from each group as a goal] </w:t>
      </w:r>
    </w:p>
    <w:p w14:paraId="330DCD13" w14:textId="77777777" w:rsidR="00417075" w:rsidRPr="0049066E" w:rsidRDefault="00417075" w:rsidP="00417075">
      <w:pPr>
        <w:rPr>
          <w:rFonts w:ascii="Calibri" w:hAnsi="Calibri" w:cs="Calibri"/>
          <w:sz w:val="22"/>
          <w:szCs w:val="22"/>
        </w:rPr>
      </w:pPr>
      <w:r w:rsidRPr="0049066E">
        <w:rPr>
          <w:rFonts w:ascii="Calibri" w:hAnsi="Calibri" w:cs="Calibri"/>
          <w:sz w:val="22"/>
          <w:szCs w:val="22"/>
        </w:rPr>
        <w:t xml:space="preserve">● Classified members from DSPS </w:t>
      </w:r>
    </w:p>
    <w:p w14:paraId="33810E72" w14:textId="77777777" w:rsidR="00417075" w:rsidRPr="0049066E" w:rsidRDefault="00417075" w:rsidP="00417075">
      <w:pPr>
        <w:rPr>
          <w:rFonts w:ascii="Calibri" w:hAnsi="Calibri" w:cs="Calibri"/>
          <w:sz w:val="22"/>
          <w:szCs w:val="22"/>
        </w:rPr>
      </w:pPr>
      <w:r w:rsidRPr="0049066E">
        <w:rPr>
          <w:rFonts w:ascii="Calibri" w:hAnsi="Calibri" w:cs="Calibri"/>
          <w:sz w:val="22"/>
          <w:szCs w:val="22"/>
        </w:rPr>
        <w:t xml:space="preserve">● Close collaboration with district General Counsel and LRCFT including two LRCFT appointments </w:t>
      </w:r>
    </w:p>
    <w:p w14:paraId="7913FC42" w14:textId="77777777" w:rsidR="00417075" w:rsidRPr="0049066E" w:rsidRDefault="00417075" w:rsidP="00417075">
      <w:pPr>
        <w:rPr>
          <w:rFonts w:ascii="Calibri" w:hAnsi="Calibri" w:cs="Calibri"/>
          <w:sz w:val="22"/>
          <w:szCs w:val="22"/>
        </w:rPr>
      </w:pPr>
      <w:r w:rsidRPr="0049066E">
        <w:rPr>
          <w:rFonts w:ascii="Calibri" w:hAnsi="Calibri" w:cs="Calibri"/>
          <w:sz w:val="22"/>
          <w:szCs w:val="22"/>
        </w:rPr>
        <w:t>● Focus on instructional materials and those that will be distributed to students</w:t>
      </w:r>
    </w:p>
    <w:p w14:paraId="0EC16FCF" w14:textId="77777777" w:rsidR="00417075" w:rsidRPr="00176ABA" w:rsidRDefault="00417075" w:rsidP="00417075">
      <w:pPr>
        <w:pStyle w:val="Heading1"/>
      </w:pPr>
      <w:r w:rsidRPr="00176ABA">
        <w:t>Instructional Faculty</w:t>
      </w:r>
    </w:p>
    <w:p w14:paraId="2DEB072E" w14:textId="77777777" w:rsidR="00417075" w:rsidRPr="00176ABA" w:rsidRDefault="00417075" w:rsidP="00417075">
      <w:pPr>
        <w:pStyle w:val="Heading2"/>
      </w:pPr>
      <w:r w:rsidRPr="00176ABA">
        <w:t>Faculty Co-Chair</w:t>
      </w:r>
    </w:p>
    <w:p w14:paraId="2C7F4548" w14:textId="77777777" w:rsidR="00417075" w:rsidRPr="00176ABA" w:rsidRDefault="00417075" w:rsidP="00417075">
      <w:r w:rsidRPr="00176ABA">
        <w:t>Kandace Knudson SCC DE Coordinator</w:t>
      </w:r>
    </w:p>
    <w:p w14:paraId="29919F45" w14:textId="77777777" w:rsidR="00417075" w:rsidRPr="00176ABA" w:rsidRDefault="00417075" w:rsidP="00417075">
      <w:pPr>
        <w:pStyle w:val="Heading3"/>
      </w:pPr>
      <w:r w:rsidRPr="00176ABA">
        <w:t>ARC</w:t>
      </w:r>
    </w:p>
    <w:p w14:paraId="5297D1D0" w14:textId="77777777" w:rsidR="00417075" w:rsidRPr="00176ABA" w:rsidRDefault="00417075" w:rsidP="0041707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 xml:space="preserve">Classroom:  </w:t>
      </w:r>
      <w:r w:rsidRPr="00176ABA">
        <w:t>Sharleen McCarroll, Math Professor</w:t>
      </w:r>
    </w:p>
    <w:p w14:paraId="2558F7CC" w14:textId="77777777" w:rsidR="00417075" w:rsidRDefault="00417075" w:rsidP="0041707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 xml:space="preserve">DE: </w:t>
      </w:r>
      <w:r w:rsidRPr="00176ABA">
        <w:t>Alice Dieli, Instructional Development Coordinator</w:t>
      </w:r>
    </w:p>
    <w:p w14:paraId="612721C7" w14:textId="77777777" w:rsidR="00417075" w:rsidRPr="00176ABA" w:rsidRDefault="00417075" w:rsidP="0041707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p>
    <w:p w14:paraId="3547B2E0" w14:textId="77777777" w:rsidR="00417075" w:rsidRPr="00176ABA" w:rsidRDefault="00417075" w:rsidP="00417075">
      <w:pPr>
        <w:pStyle w:val="Heading3"/>
      </w:pPr>
      <w:r w:rsidRPr="00176ABA">
        <w:t>CRC</w:t>
      </w:r>
    </w:p>
    <w:p w14:paraId="1AA5FE37" w14:textId="77777777" w:rsidR="00417075" w:rsidRDefault="00417075" w:rsidP="00417075">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Kathryn Mayo, Photography Professor</w:t>
      </w:r>
    </w:p>
    <w:p w14:paraId="6D16385A" w14:textId="77777777" w:rsidR="00417075" w:rsidRPr="00176ABA" w:rsidRDefault="00417075" w:rsidP="00417075">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Greg Beyrer, Distance Education Coordinator</w:t>
      </w:r>
    </w:p>
    <w:p w14:paraId="087CD3A1" w14:textId="77777777" w:rsidR="00417075" w:rsidRPr="00176ABA" w:rsidRDefault="00417075" w:rsidP="00417075">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Jena Trench OCDC &amp; Biology Professor</w:t>
      </w:r>
    </w:p>
    <w:p w14:paraId="37CF6F93" w14:textId="77777777" w:rsidR="00417075" w:rsidRPr="00176ABA" w:rsidRDefault="00417075" w:rsidP="00417075">
      <w:pPr>
        <w:pStyle w:val="Heading3"/>
      </w:pPr>
      <w:r w:rsidRPr="00176ABA">
        <w:t>FLC</w:t>
      </w:r>
    </w:p>
    <w:p w14:paraId="2BF83B10" w14:textId="77777777" w:rsidR="00417075" w:rsidRDefault="00417075" w:rsidP="00417075">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 xml:space="preserve">Classroom: Angela </w:t>
      </w:r>
      <w:proofErr w:type="spellStart"/>
      <w:r>
        <w:t>Prelip</w:t>
      </w:r>
      <w:proofErr w:type="spellEnd"/>
      <w:r>
        <w:t>, Communications (&amp; OCDC)</w:t>
      </w:r>
    </w:p>
    <w:p w14:paraId="6CFE946D" w14:textId="77777777" w:rsidR="00417075" w:rsidRPr="00176ABA" w:rsidRDefault="00417075" w:rsidP="00417075">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 xml:space="preserve">DE: </w:t>
      </w:r>
      <w:r w:rsidRPr="00176ABA">
        <w:t>Morgan Murphy, Distance Education Coordinator</w:t>
      </w:r>
    </w:p>
    <w:p w14:paraId="7D90FB9A" w14:textId="77777777" w:rsidR="00417075" w:rsidRPr="00176ABA" w:rsidRDefault="00417075" w:rsidP="00417075">
      <w:pPr>
        <w:pStyle w:val="Heading3"/>
      </w:pPr>
      <w:r w:rsidRPr="00176ABA">
        <w:t>SCC</w:t>
      </w:r>
    </w:p>
    <w:p w14:paraId="3E113343" w14:textId="77777777" w:rsidR="00417075" w:rsidRDefault="00417075" w:rsidP="00417075">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 xml:space="preserve">Classroom: </w:t>
      </w:r>
      <w:r w:rsidRPr="00176ABA">
        <w:t xml:space="preserve">Janelle </w:t>
      </w:r>
      <w:proofErr w:type="spellStart"/>
      <w:r w:rsidRPr="00176ABA">
        <w:t>Pettler</w:t>
      </w:r>
      <w:proofErr w:type="spellEnd"/>
      <w:r w:rsidRPr="00176ABA">
        <w:t xml:space="preserve"> CIS Professor</w:t>
      </w:r>
    </w:p>
    <w:p w14:paraId="34E875F8" w14:textId="77777777" w:rsidR="00417075" w:rsidRPr="00176ABA" w:rsidRDefault="00417075" w:rsidP="00417075">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 xml:space="preserve">DE/ID: </w:t>
      </w:r>
      <w:r w:rsidRPr="00176ABA">
        <w:t>Brian Pogue Instructional Development Coordinator</w:t>
      </w:r>
    </w:p>
    <w:p w14:paraId="550282C2" w14:textId="77777777" w:rsidR="00417075" w:rsidRDefault="00417075" w:rsidP="00417075">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(Kandace, co-chair)</w:t>
      </w:r>
    </w:p>
    <w:p w14:paraId="5C5F3A3F" w14:textId="77777777" w:rsidR="00417075" w:rsidRPr="00176ABA" w:rsidRDefault="00417075" w:rsidP="00417075"/>
    <w:p w14:paraId="4C4A60B2" w14:textId="77777777" w:rsidR="00417075" w:rsidRPr="00176ABA" w:rsidRDefault="00417075" w:rsidP="00417075">
      <w:pPr>
        <w:pStyle w:val="Heading3"/>
      </w:pPr>
      <w:r w:rsidRPr="00176ABA">
        <w:t>DSPS Faculty &amp; Classified</w:t>
      </w:r>
    </w:p>
    <w:p w14:paraId="5C6C7663" w14:textId="77777777" w:rsidR="00417075" w:rsidRPr="00176ABA" w:rsidRDefault="00417075" w:rsidP="00417075">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Yolanda Garcia, CRC</w:t>
      </w:r>
      <w:r>
        <w:t xml:space="preserve"> (faculty)</w:t>
      </w:r>
    </w:p>
    <w:p w14:paraId="4806991E" w14:textId="77777777" w:rsidR="00417075" w:rsidRPr="00176ABA" w:rsidRDefault="00417075" w:rsidP="00417075">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 xml:space="preserve">Toni Newman, SCC, </w:t>
      </w:r>
      <w:r>
        <w:t xml:space="preserve">(faculty) </w:t>
      </w:r>
      <w:r w:rsidRPr="00176ABA">
        <w:t>Stacy Bernstein, Alternate Media Design Specialist (</w:t>
      </w:r>
      <w:r>
        <w:t xml:space="preserve">classified, </w:t>
      </w:r>
      <w:r w:rsidRPr="00176ABA">
        <w:t>alternate)</w:t>
      </w:r>
    </w:p>
    <w:p w14:paraId="402CF5FB" w14:textId="77777777" w:rsidR="00417075" w:rsidRPr="00176ABA" w:rsidRDefault="00417075" w:rsidP="00417075">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Joe Rust, ARC</w:t>
      </w:r>
      <w:r>
        <w:t xml:space="preserve"> (faculty)</w:t>
      </w:r>
    </w:p>
    <w:p w14:paraId="17E56F1C" w14:textId="77777777" w:rsidR="00417075" w:rsidRPr="00176ABA" w:rsidRDefault="00417075" w:rsidP="00417075">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lastRenderedPageBreak/>
        <w:t>Keith Ellis, Alternate Media Design Specialist, FLC</w:t>
      </w:r>
      <w:r>
        <w:t xml:space="preserve"> (classified)</w:t>
      </w:r>
    </w:p>
    <w:p w14:paraId="57E43F3D" w14:textId="77777777" w:rsidR="00417075" w:rsidRPr="00176ABA" w:rsidRDefault="00417075" w:rsidP="00417075"/>
    <w:p w14:paraId="6A5AFE98" w14:textId="77777777" w:rsidR="00417075" w:rsidRPr="00176ABA" w:rsidRDefault="00417075" w:rsidP="00417075">
      <w:pPr>
        <w:pStyle w:val="Heading3"/>
      </w:pPr>
      <w:r w:rsidRPr="00176ABA">
        <w:t>LRCFT Faculty</w:t>
      </w:r>
    </w:p>
    <w:p w14:paraId="3FE5FB97" w14:textId="77777777" w:rsidR="00417075" w:rsidRDefault="00417075" w:rsidP="0041707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p>
    <w:p w14:paraId="74F198AF" w14:textId="77777777" w:rsidR="00417075" w:rsidRDefault="00417075" w:rsidP="0041707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p>
    <w:p w14:paraId="737B60B1" w14:textId="77777777" w:rsidR="00417075" w:rsidRPr="00176ABA" w:rsidRDefault="00417075" w:rsidP="00417075">
      <w:pPr>
        <w:pStyle w:val="Heading3"/>
      </w:pPr>
      <w:r w:rsidRPr="00176ABA">
        <w:t>College Administrators</w:t>
      </w:r>
    </w:p>
    <w:p w14:paraId="5F394E86" w14:textId="77777777" w:rsidR="00417075" w:rsidRPr="00176ABA" w:rsidRDefault="00417075" w:rsidP="00417075">
      <w:pPr>
        <w:pStyle w:val="Heading4"/>
      </w:pPr>
      <w:r w:rsidRPr="00176ABA">
        <w:t>ARC</w:t>
      </w:r>
    </w:p>
    <w:p w14:paraId="34865DFF" w14:textId="77777777" w:rsidR="00417075" w:rsidRPr="00176ABA" w:rsidRDefault="00417075" w:rsidP="00417075">
      <w:r w:rsidRPr="00176ABA">
        <w:t xml:space="preserve">BJ </w:t>
      </w:r>
      <w:proofErr w:type="gramStart"/>
      <w:r w:rsidRPr="00176ABA">
        <w:t>Snowden,  Associate</w:t>
      </w:r>
      <w:proofErr w:type="gramEnd"/>
      <w:r w:rsidRPr="00176ABA">
        <w:t xml:space="preserve"> Vice President of Equity, Institutional Effectiveness, and Innovation</w:t>
      </w:r>
    </w:p>
    <w:p w14:paraId="21D0C805" w14:textId="77777777" w:rsidR="00417075" w:rsidRPr="00176ABA" w:rsidRDefault="00417075" w:rsidP="00417075">
      <w:pPr>
        <w:pStyle w:val="Heading4"/>
      </w:pPr>
      <w:r w:rsidRPr="00176ABA">
        <w:t>CRC</w:t>
      </w:r>
    </w:p>
    <w:p w14:paraId="61962D20" w14:textId="77777777" w:rsidR="00417075" w:rsidRPr="00176ABA" w:rsidRDefault="00417075" w:rsidP="00417075">
      <w:r w:rsidRPr="00176ABA">
        <w:t xml:space="preserve">Tyler Rollins, Interim Dean of Business and Computer Science </w:t>
      </w:r>
    </w:p>
    <w:p w14:paraId="594DFF23" w14:textId="77777777" w:rsidR="00417075" w:rsidRPr="00176ABA" w:rsidRDefault="00417075" w:rsidP="00417075">
      <w:pPr>
        <w:pStyle w:val="Heading4"/>
      </w:pPr>
      <w:r w:rsidRPr="00176ABA">
        <w:t>FLC</w:t>
      </w:r>
    </w:p>
    <w:p w14:paraId="2041CBBE" w14:textId="77777777" w:rsidR="00417075" w:rsidRPr="00176ABA" w:rsidRDefault="00417075" w:rsidP="00417075">
      <w:r w:rsidRPr="00176ABA">
        <w:t>Matt Wright Dean Athletics, Kinesiology, and Distance Education</w:t>
      </w:r>
    </w:p>
    <w:p w14:paraId="1731EC54" w14:textId="77777777" w:rsidR="00417075" w:rsidRPr="00176ABA" w:rsidRDefault="00417075" w:rsidP="00417075">
      <w:pPr>
        <w:pStyle w:val="Heading4"/>
      </w:pPr>
      <w:r w:rsidRPr="00176ABA">
        <w:t>SCC</w:t>
      </w:r>
    </w:p>
    <w:p w14:paraId="7143FDBF" w14:textId="77777777" w:rsidR="00417075" w:rsidRPr="00176ABA" w:rsidRDefault="00417075" w:rsidP="00417075">
      <w:r w:rsidRPr="00176ABA">
        <w:t>Rick Hodge, Associate Vice President of Economic and Workforce Development</w:t>
      </w:r>
    </w:p>
    <w:p w14:paraId="586A812C" w14:textId="77777777" w:rsidR="00417075" w:rsidRPr="00176ABA" w:rsidRDefault="00417075" w:rsidP="00417075">
      <w:pPr>
        <w:pStyle w:val="Heading3"/>
      </w:pPr>
      <w:r w:rsidRPr="00176ABA">
        <w:t xml:space="preserve">District </w:t>
      </w:r>
    </w:p>
    <w:p w14:paraId="08EA4756" w14:textId="77777777" w:rsidR="00417075" w:rsidRPr="00176ABA" w:rsidRDefault="00417075" w:rsidP="00417075">
      <w:r w:rsidRPr="00176ABA">
        <w:t>Tammy Montgomery, (co-chair), Interim Associate Vice Chancellor of Instruction</w:t>
      </w:r>
    </w:p>
    <w:p w14:paraId="1EBF5342" w14:textId="77777777" w:rsidR="00417075" w:rsidRPr="00176ABA" w:rsidRDefault="00417075" w:rsidP="00417075">
      <w:proofErr w:type="spellStart"/>
      <w:r w:rsidRPr="00176ABA">
        <w:t>Manveer</w:t>
      </w:r>
      <w:proofErr w:type="spellEnd"/>
      <w:r w:rsidRPr="00176ABA">
        <w:t xml:space="preserve"> Bola, Associate Vice Chancellor of Information Technology</w:t>
      </w:r>
    </w:p>
    <w:p w14:paraId="2CE9DA7A" w14:textId="77777777" w:rsidR="00417075" w:rsidRPr="00176ABA" w:rsidRDefault="00417075" w:rsidP="00417075">
      <w:r w:rsidRPr="00176ABA">
        <w:t>Theresa Milan, Associate Vice President of Workforce Development and Online Engagement</w:t>
      </w:r>
    </w:p>
    <w:p w14:paraId="226F4972" w14:textId="77777777" w:rsidR="00417075" w:rsidRPr="00176ABA" w:rsidRDefault="00417075" w:rsidP="00417075">
      <w:r w:rsidRPr="00176ABA">
        <w:t>Ken Cooper, Information Technology Analyst</w:t>
      </w:r>
    </w:p>
    <w:p w14:paraId="22616D10" w14:textId="77777777" w:rsidR="00417075" w:rsidRPr="00176ABA" w:rsidRDefault="00417075" w:rsidP="00417075">
      <w:r w:rsidRPr="00176ABA">
        <w:br w:type="page"/>
      </w:r>
    </w:p>
    <w:p w14:paraId="0EA1BFB4" w14:textId="77777777" w:rsidR="00417075" w:rsidRPr="00176ABA" w:rsidRDefault="00417075" w:rsidP="00417075">
      <w:pPr>
        <w:pStyle w:val="Heading2"/>
      </w:pPr>
      <w:r w:rsidRPr="00176ABA">
        <w:lastRenderedPageBreak/>
        <w:t>Overview</w:t>
      </w:r>
    </w:p>
    <w:p w14:paraId="6E441B67" w14:textId="77777777" w:rsidR="00417075" w:rsidRPr="00176ABA" w:rsidRDefault="00417075" w:rsidP="00417075">
      <w:r w:rsidRPr="00176ABA">
        <w:t>The Instructional Accessibility Committee</w:t>
      </w:r>
      <w:r>
        <w:t xml:space="preserve"> (IAC)</w:t>
      </w:r>
      <w:r w:rsidRPr="00176ABA">
        <w:t>—formerly known as the District Accessibility Plan Implementation Committee</w:t>
      </w:r>
      <w:r>
        <w:t xml:space="preserve"> (DAPIC)</w:t>
      </w:r>
      <w:r w:rsidRPr="00176ABA">
        <w:t>—</w:t>
      </w:r>
      <w:r>
        <w:t xml:space="preserve">was shaped in late spring of 2022 by the District Academic Senate and has a narrow focus on the accessibility of instructional materials and any materials distributed to students. Committee members collaborated to shape the resources described below and remain committed to increasing the quality and equity of the student experience via increasing the accessibility of instructional materials. </w:t>
      </w:r>
    </w:p>
    <w:p w14:paraId="45DC3567" w14:textId="77777777" w:rsidR="00417075" w:rsidRDefault="00417075" w:rsidP="00417075"/>
    <w:p w14:paraId="2BF99B58" w14:textId="77777777" w:rsidR="00417075" w:rsidRDefault="00417075" w:rsidP="00417075">
      <w:r>
        <w:t xml:space="preserve">Although the IAC facilitated the development and piloting of high-quality resources to support accessibility in 2023-2024 and beyond, there is still much work to do. Next year’s committee work will focus heavily on developing detailed plans for the incremental increase in capacity at LRCCD for supporting accessible instructional materials, as discussed in the context of the Capability Maturity Model. </w:t>
      </w:r>
    </w:p>
    <w:p w14:paraId="21C93A2A" w14:textId="77777777" w:rsidR="00417075" w:rsidRDefault="00417075" w:rsidP="00417075"/>
    <w:p w14:paraId="3FC923C4" w14:textId="77777777" w:rsidR="00417075" w:rsidRDefault="00417075" w:rsidP="00417075">
      <w:r>
        <w:t xml:space="preserve">Appendix A has a brief summary of the history of this committee’s work. </w:t>
      </w:r>
    </w:p>
    <w:p w14:paraId="226DED1F" w14:textId="77777777" w:rsidR="00417075" w:rsidRDefault="00417075" w:rsidP="00417075">
      <w:pPr>
        <w:pStyle w:val="Heading2"/>
      </w:pPr>
      <w:r>
        <w:t>IAC Core Messages</w:t>
      </w:r>
    </w:p>
    <w:p w14:paraId="6E2E8CB6" w14:textId="77777777" w:rsidR="00417075" w:rsidRPr="002C5F68" w:rsidRDefault="00417075" w:rsidP="00417075">
      <w:r>
        <w:t>The IAC offers three key messages as foundational for supporting a Culture of Accessibility</w:t>
      </w:r>
    </w:p>
    <w:p w14:paraId="0AD902C7" w14:textId="77777777" w:rsidR="00417075" w:rsidRPr="00176ABA" w:rsidRDefault="00417075" w:rsidP="0041707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 xml:space="preserve">Accessibility is an equity issue </w:t>
      </w:r>
    </w:p>
    <w:p w14:paraId="424C4C0F" w14:textId="77777777" w:rsidR="00417075" w:rsidRPr="00176ABA" w:rsidRDefault="00417075" w:rsidP="0041707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Accessibility builds empathy; accessibility is humanizing</w:t>
      </w:r>
    </w:p>
    <w:p w14:paraId="040EA508" w14:textId="77777777" w:rsidR="00417075" w:rsidRPr="00176ABA" w:rsidRDefault="00417075" w:rsidP="0041707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 xml:space="preserve">Accessible content has benefits for everyone </w:t>
      </w:r>
      <w:bookmarkStart w:id="10" w:name="_e5ian1dliv13" w:colFirst="0" w:colLast="0"/>
      <w:bookmarkStart w:id="11" w:name="_5qukwgjpbiip" w:colFirst="0" w:colLast="0"/>
      <w:bookmarkEnd w:id="10"/>
      <w:bookmarkEnd w:id="11"/>
    </w:p>
    <w:p w14:paraId="40DDE59E" w14:textId="77777777" w:rsidR="00417075" w:rsidRPr="00176ABA" w:rsidRDefault="00417075" w:rsidP="00417075"/>
    <w:p w14:paraId="1BBEC3B4" w14:textId="77777777" w:rsidR="00417075" w:rsidRDefault="00417075" w:rsidP="00417075">
      <w:pPr>
        <w:pStyle w:val="Heading2"/>
      </w:pPr>
      <w:r w:rsidRPr="00176ABA">
        <w:t xml:space="preserve">Capability Maturity Model </w:t>
      </w:r>
      <w:r>
        <w:t>Progress</w:t>
      </w:r>
    </w:p>
    <w:p w14:paraId="00669A0D" w14:textId="77777777" w:rsidR="00417075" w:rsidRPr="00176ABA" w:rsidRDefault="00417075" w:rsidP="00417075">
      <w:r w:rsidRPr="00176ABA">
        <w:t xml:space="preserve">The Capability Maturity Model is one </w:t>
      </w:r>
      <w:r>
        <w:t xml:space="preserve">proven method of incrementally increasing accessibility capacity across the district and its campuses. The method includes an initial assessment, development of goals and milestones, and a recursive process of continuous improvement through self-assessments and adjustments. </w:t>
      </w:r>
    </w:p>
    <w:p w14:paraId="7B308709" w14:textId="77777777" w:rsidR="00417075" w:rsidRPr="00895178" w:rsidRDefault="00417075" w:rsidP="00417075">
      <w:pPr>
        <w:pStyle w:val="Heading3"/>
      </w:pPr>
      <w:r>
        <w:t>Goals and Milestones</w:t>
      </w:r>
    </w:p>
    <w:p w14:paraId="0FB96BD2" w14:textId="77777777" w:rsidR="00417075" w:rsidRDefault="00417075" w:rsidP="00417075">
      <w:r>
        <w:t>The committee members draft these initial Goals and will refine them in the 2023-2024 academic year, adding and adjusting milestones as needed:</w:t>
      </w:r>
    </w:p>
    <w:p w14:paraId="576A096A" w14:textId="77777777" w:rsidR="00417075" w:rsidRDefault="00417075" w:rsidP="0041707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Long-term funded resources</w:t>
      </w:r>
    </w:p>
    <w:p w14:paraId="19F81535" w14:textId="77777777" w:rsidR="00417075" w:rsidRDefault="00417075" w:rsidP="00417075">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F80894">
        <w:t xml:space="preserve">Ongoing document remediation support via the Accessibility Team </w:t>
      </w:r>
      <w:r>
        <w:t xml:space="preserve">that is </w:t>
      </w:r>
      <w:r w:rsidRPr="00F80894">
        <w:t xml:space="preserve">currently in place to support the </w:t>
      </w:r>
      <w:proofErr w:type="gramStart"/>
      <w:r w:rsidRPr="00F80894">
        <w:t>Fast Track</w:t>
      </w:r>
      <w:proofErr w:type="gramEnd"/>
      <w:r w:rsidRPr="00F80894">
        <w:t xml:space="preserve"> program</w:t>
      </w:r>
    </w:p>
    <w:p w14:paraId="5D5242BB" w14:textId="77777777" w:rsidR="00417075" w:rsidRDefault="00417075" w:rsidP="00417075">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Established Universal Design for Learning coordinators (4, 1 for each campus)</w:t>
      </w:r>
    </w:p>
    <w:p w14:paraId="37D6EDC7" w14:textId="77777777" w:rsidR="00417075" w:rsidRDefault="00417075" w:rsidP="00417075">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A permanent captioning process via DE Captioning grant</w:t>
      </w:r>
    </w:p>
    <w:p w14:paraId="4B6CD012" w14:textId="77777777" w:rsidR="00417075" w:rsidRDefault="00417075" w:rsidP="0041707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A clear delineation of how DSPS services fit together with instructional-side accessibility: (what constitutes DSPS support under section 504 and instructional-side responsibilities under section 508 as well as how DSPS adjusts when 508 (proactive) accessibility falls short on the instructional side)</w:t>
      </w:r>
    </w:p>
    <w:p w14:paraId="28772825" w14:textId="77777777" w:rsidR="00417075" w:rsidRDefault="00417075" w:rsidP="0041707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Accountability measures for those who directly or indirectly distribute or assign instructional materials to students (</w:t>
      </w:r>
      <w:proofErr w:type="gramStart"/>
      <w:r>
        <w:t>e.g.</w:t>
      </w:r>
      <w:proofErr w:type="gramEnd"/>
      <w:r>
        <w:t xml:space="preserve"> instructors or those who send materials to instructors for distribution to students)</w:t>
      </w:r>
    </w:p>
    <w:p w14:paraId="7E4BD29A" w14:textId="77777777" w:rsidR="00417075" w:rsidRDefault="00417075" w:rsidP="0041707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Documented assessment and continuous improvement processes for IAC</w:t>
      </w:r>
    </w:p>
    <w:p w14:paraId="3DDB62DE" w14:textId="77777777" w:rsidR="00417075" w:rsidRDefault="00417075" w:rsidP="0041707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Updated Original Accessibility Plan to consider Capability Maturity Model and IAC</w:t>
      </w:r>
    </w:p>
    <w:p w14:paraId="7B47558F" w14:textId="4573486B" w:rsidR="00417075" w:rsidRPr="00494933" w:rsidRDefault="00417075" w:rsidP="0041707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Updated P-7136 to reflect updated Accessibility Plan</w:t>
      </w:r>
    </w:p>
    <w:p w14:paraId="7AAA52E5" w14:textId="77777777" w:rsidR="00417075" w:rsidRDefault="00417075" w:rsidP="00417075">
      <w:pPr>
        <w:pStyle w:val="Heading2"/>
      </w:pPr>
      <w:bookmarkStart w:id="12" w:name="_7d9x5lmwkzsn" w:colFirst="0" w:colLast="0"/>
      <w:bookmarkEnd w:id="12"/>
      <w:r>
        <w:lastRenderedPageBreak/>
        <w:t>2023-2024 Projected Accessibility-Support Resources</w:t>
      </w:r>
    </w:p>
    <w:p w14:paraId="733B1672" w14:textId="77777777" w:rsidR="00417075" w:rsidRDefault="00417075" w:rsidP="0041707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Captioning Processes</w:t>
      </w:r>
    </w:p>
    <w:p w14:paraId="3CD90BF9" w14:textId="77777777" w:rsidR="00417075" w:rsidRDefault="00417075" w:rsidP="00417075">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Ongoing DECT-facilitated captioning</w:t>
      </w:r>
    </w:p>
    <w:p w14:paraId="6DAD3355" w14:textId="77777777" w:rsidR="00417075" w:rsidRDefault="00417075" w:rsidP="00417075">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Flowchart with list of auto-captioning options for faculty</w:t>
      </w:r>
    </w:p>
    <w:p w14:paraId="289748F4" w14:textId="77777777" w:rsidR="00417075" w:rsidRDefault="00417075" w:rsidP="0041707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UDL Coordinators Facilitation of resources</w:t>
      </w:r>
    </w:p>
    <w:p w14:paraId="4ED682E5" w14:textId="77777777" w:rsidR="00417075" w:rsidRDefault="00417075" w:rsidP="00417075">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 xml:space="preserve">Accessibility Team document remediation </w:t>
      </w:r>
    </w:p>
    <w:p w14:paraId="16686542" w14:textId="77777777" w:rsidR="00417075" w:rsidRDefault="00417075" w:rsidP="00417075">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Individualized training</w:t>
      </w:r>
    </w:p>
    <w:p w14:paraId="3E015531" w14:textId="77777777" w:rsidR="00417075" w:rsidRDefault="00417075" w:rsidP="00417075">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Accessibility expertise</w:t>
      </w:r>
    </w:p>
    <w:p w14:paraId="542E05D3" w14:textId="77777777" w:rsidR="00417075" w:rsidRDefault="00417075" w:rsidP="0041707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Professional Development (Foundations)</w:t>
      </w:r>
    </w:p>
    <w:p w14:paraId="04A2655E" w14:textId="77777777" w:rsidR="00417075" w:rsidRDefault="00417075" w:rsidP="0041707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Limited OER remediation</w:t>
      </w:r>
    </w:p>
    <w:p w14:paraId="65178856" w14:textId="77777777" w:rsidR="00417075" w:rsidRDefault="00417075" w:rsidP="0041707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IAC continued guidance and leadership</w:t>
      </w:r>
    </w:p>
    <w:p w14:paraId="52D62621" w14:textId="77777777" w:rsidR="00417075" w:rsidRDefault="00417075" w:rsidP="00417075"/>
    <w:p w14:paraId="7C81A67D" w14:textId="77777777" w:rsidR="00417075" w:rsidRDefault="00417075" w:rsidP="00417075">
      <w:pPr>
        <w:pStyle w:val="Heading2"/>
      </w:pPr>
      <w:r>
        <w:t>Recommendations</w:t>
      </w:r>
    </w:p>
    <w:p w14:paraId="14DCF5D6" w14:textId="77777777" w:rsidR="00417075" w:rsidRPr="00FD435A" w:rsidRDefault="00417075" w:rsidP="0041707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rPr>
          <w:rStyle w:val="Emphasis"/>
        </w:rPr>
      </w:pPr>
      <w:r w:rsidRPr="00FD435A">
        <w:rPr>
          <w:rStyle w:val="Emphasis"/>
        </w:rPr>
        <w:t xml:space="preserve">Faculty should include </w:t>
      </w:r>
      <w:r>
        <w:rPr>
          <w:rStyle w:val="Emphasis"/>
        </w:rPr>
        <w:t>an assessment of how accessible their courses are as part of their equity reflection.</w:t>
      </w:r>
    </w:p>
    <w:p w14:paraId="7BCFBFEC" w14:textId="77777777" w:rsidR="00417075" w:rsidRDefault="00417075" w:rsidP="00417075">
      <w:r>
        <w:t xml:space="preserve">Recent changes to Title 5 Section 53602 to include Accessibility in evaluation and tenure processes could potentially be folded into the existing self-reflection and would help educate faculty about accessibility in a non-threatening and low-stakes process. </w:t>
      </w:r>
    </w:p>
    <w:p w14:paraId="6C02AEE0" w14:textId="77777777" w:rsidR="00417075" w:rsidRPr="00FD435A" w:rsidRDefault="00417075" w:rsidP="0041707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rPr>
          <w:rStyle w:val="Emphasis"/>
        </w:rPr>
      </w:pPr>
      <w:r w:rsidRPr="00FD435A">
        <w:rPr>
          <w:rStyle w:val="Emphasis"/>
        </w:rPr>
        <w:t>Campuses should have a named 508 Compliance Officer</w:t>
      </w:r>
      <w:r>
        <w:rPr>
          <w:rStyle w:val="Emphasis"/>
        </w:rPr>
        <w:t xml:space="preserve"> and Coordinator</w:t>
      </w:r>
      <w:r w:rsidRPr="00FD435A">
        <w:rPr>
          <w:rStyle w:val="Emphasis"/>
        </w:rPr>
        <w:t xml:space="preserve">. </w:t>
      </w:r>
    </w:p>
    <w:p w14:paraId="3DFBC82D" w14:textId="77777777" w:rsidR="00417075" w:rsidRPr="00176ABA" w:rsidRDefault="00417075" w:rsidP="00417075">
      <w:r>
        <w:t>The CCC Chancellor’s Office assumes that campuses have people on each campus who coordinate compliance with Section 508 and Section 504. Students would ultimately benefit from the existence of a point person on campus who is responsible for advocating for and tracking proactive Section 508-related accessibility efforts.</w:t>
      </w:r>
      <w:bookmarkStart w:id="13" w:name="_30lug1kl8asi" w:colFirst="0" w:colLast="0"/>
      <w:bookmarkEnd w:id="13"/>
      <w:r w:rsidRPr="00176ABA">
        <w:br w:type="page"/>
      </w:r>
    </w:p>
    <w:p w14:paraId="7F3B4979" w14:textId="77777777" w:rsidR="00417075" w:rsidRPr="00176ABA" w:rsidRDefault="00417075" w:rsidP="00417075">
      <w:pPr>
        <w:pStyle w:val="Heading1"/>
      </w:pPr>
      <w:r w:rsidRPr="00176ABA">
        <w:lastRenderedPageBreak/>
        <w:t xml:space="preserve">Appendix A: </w:t>
      </w:r>
    </w:p>
    <w:p w14:paraId="207EB313" w14:textId="77777777" w:rsidR="00417075" w:rsidRPr="00176ABA" w:rsidRDefault="00417075" w:rsidP="00417075">
      <w:pPr>
        <w:pStyle w:val="Heading1"/>
      </w:pPr>
      <w:r>
        <w:t>Brief History of DAPIC and IAC</w:t>
      </w:r>
    </w:p>
    <w:p w14:paraId="37A8AD27" w14:textId="77777777" w:rsidR="00417075" w:rsidRPr="00176ABA" w:rsidRDefault="00417075" w:rsidP="00417075">
      <w:pPr>
        <w:pStyle w:val="Heading2"/>
      </w:pPr>
      <w:bookmarkStart w:id="14" w:name="_Toc82602088"/>
      <w:r>
        <w:t>DAPIC Year 1: 2020-2021</w:t>
      </w:r>
      <w:bookmarkEnd w:id="14"/>
    </w:p>
    <w:p w14:paraId="5D07956C" w14:textId="77777777" w:rsidR="00417075" w:rsidRPr="00176ABA" w:rsidRDefault="00417075" w:rsidP="00417075">
      <w:r w:rsidRPr="00176ABA">
        <w:t xml:space="preserve">DAPIC was </w:t>
      </w:r>
      <w:r>
        <w:t xml:space="preserve">created and </w:t>
      </w:r>
      <w:r w:rsidRPr="00176ABA">
        <w:t xml:space="preserve">charged in Spring of 2020 to “work to better understand the scope of the work required to create and remediate </w:t>
      </w:r>
      <w:r>
        <w:t xml:space="preserve">inaccessible </w:t>
      </w:r>
      <w:r w:rsidRPr="00176ABA">
        <w:t>I</w:t>
      </w:r>
      <w:r>
        <w:t xml:space="preserve">nformation </w:t>
      </w:r>
      <w:r w:rsidRPr="00176ABA">
        <w:t>C</w:t>
      </w:r>
      <w:r>
        <w:t xml:space="preserve">omputer </w:t>
      </w:r>
      <w:r w:rsidRPr="00176ABA">
        <w:t>T</w:t>
      </w:r>
      <w:r>
        <w:t>echnology</w:t>
      </w:r>
      <w:r w:rsidRPr="00176ABA">
        <w:t>, with a specific focus on instruction materials.</w:t>
      </w:r>
      <w:r>
        <w:t>”</w:t>
      </w:r>
      <w:r w:rsidRPr="00176ABA">
        <w:t xml:space="preserve"> </w:t>
      </w:r>
    </w:p>
    <w:p w14:paraId="06FC2B6D" w14:textId="77777777" w:rsidR="00417075" w:rsidRPr="00176ABA" w:rsidRDefault="00417075" w:rsidP="00417075">
      <w:r w:rsidRPr="00176ABA">
        <w:t>The committee’s five initial goals and key results:</w:t>
      </w:r>
    </w:p>
    <w:p w14:paraId="131AAA40" w14:textId="77777777" w:rsidR="00417075" w:rsidRPr="00176ABA" w:rsidRDefault="00417075" w:rsidP="00417075">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Inventory the scope of work required to meet accessibility standards and guidelines.</w:t>
      </w:r>
    </w:p>
    <w:p w14:paraId="01020ED4" w14:textId="77777777" w:rsidR="00417075" w:rsidRPr="00176ABA" w:rsidRDefault="00417075" w:rsidP="00417075">
      <w:r w:rsidRPr="00176ABA">
        <w:t xml:space="preserve">The work required to ensure the accessibility of ICT is broad and excessive, requiring specialized accessibility expertise. </w:t>
      </w:r>
    </w:p>
    <w:p w14:paraId="46FF899F" w14:textId="77777777" w:rsidR="00417075" w:rsidRPr="00176ABA" w:rsidRDefault="00417075" w:rsidP="00417075">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Identify areas that faculty should be responsible to meet accessibility standards.</w:t>
      </w:r>
    </w:p>
    <w:p w14:paraId="544F71DA" w14:textId="77777777" w:rsidR="00417075" w:rsidRPr="00176ABA" w:rsidRDefault="00417075" w:rsidP="00417075">
      <w:r w:rsidRPr="00176ABA">
        <w:t>Faculty—with appropriate training—will be able to create accessible materials in most cases and will need support from accessibility specialists at their campus and district.</w:t>
      </w:r>
    </w:p>
    <w:p w14:paraId="06CF9C61" w14:textId="77777777" w:rsidR="00417075" w:rsidRPr="00176ABA" w:rsidRDefault="00417075" w:rsidP="00417075">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Identify needed training resources for faculty to meet accessibility standards and guidelines.</w:t>
      </w:r>
    </w:p>
    <w:p w14:paraId="65AEE318" w14:textId="77777777" w:rsidR="00417075" w:rsidRPr="00176ABA" w:rsidRDefault="00417075" w:rsidP="00417075">
      <w:r w:rsidRPr="00176ABA">
        <w:t>Training for faculty should be facilitated, recurrent, and part of a wrap-around accessibility support mechanism for all LRCCD employees.</w:t>
      </w:r>
    </w:p>
    <w:p w14:paraId="014AEFDB" w14:textId="77777777" w:rsidR="00417075" w:rsidRPr="00176ABA" w:rsidRDefault="00417075" w:rsidP="00417075">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 xml:space="preserve">Identify areas of higher-level ICT accessibility issues that should not be completed by faculty. </w:t>
      </w:r>
    </w:p>
    <w:p w14:paraId="32E059C2" w14:textId="77777777" w:rsidR="00417075" w:rsidRPr="00176ABA" w:rsidRDefault="00417075" w:rsidP="00417075">
      <w:r w:rsidRPr="00176ABA">
        <w:t>Ensuring accessible ICT requires high-level, specialized knowledge that should be provided by continuing, institutionalized campus and district resources and personnel, dedicated to ICT accessibility.</w:t>
      </w:r>
    </w:p>
    <w:p w14:paraId="63E03FF7" w14:textId="77777777" w:rsidR="00417075" w:rsidRPr="00176ABA" w:rsidRDefault="00417075" w:rsidP="00417075">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rsidRPr="00176ABA">
        <w:t>Identify the workload impacts required to meet accessibility standards and guidelines.</w:t>
      </w:r>
    </w:p>
    <w:p w14:paraId="2D02DFEE" w14:textId="77777777" w:rsidR="00417075" w:rsidRPr="00176ABA" w:rsidRDefault="00417075" w:rsidP="00417075">
      <w:r w:rsidRPr="00176ABA">
        <w:t xml:space="preserve">The wholesale shift to a culture of accessibility at LRCCD will require a significant and distributed workload, supported by campus and district specialists and new processes to be developed and refined over the next several years. </w:t>
      </w:r>
    </w:p>
    <w:p w14:paraId="62556C8C" w14:textId="77777777" w:rsidR="00417075" w:rsidRDefault="00417075" w:rsidP="00417075">
      <w:bookmarkStart w:id="15" w:name="_heading=h.xum7djxjqcex" w:colFirst="0" w:colLast="0"/>
      <w:bookmarkEnd w:id="15"/>
    </w:p>
    <w:p w14:paraId="023234D1" w14:textId="77777777" w:rsidR="00417075" w:rsidRDefault="00417075" w:rsidP="00417075">
      <w:pPr>
        <w:pStyle w:val="Heading2"/>
      </w:pPr>
      <w:r>
        <w:t>DAPIC Year 2: 2021-2022</w:t>
      </w:r>
    </w:p>
    <w:p w14:paraId="5B20F65D" w14:textId="77777777" w:rsidR="00417075" w:rsidRDefault="00417075" w:rsidP="00417075">
      <w:r>
        <w:t xml:space="preserve">DAPIC’s second year marked a continuation of the work and significant transition to the realization that best practices in developing institutional accessibility capacity include a gradual—not sudden and not wholescale—increase in resources and capacity. Discovery and understanding of the CCC Accessibility Center Capability Maturity Model (CMM) changed the focus of the committee during this year toward a methodical, gradual increase in accessibility resources. The committee successfully established captioning and OER remediation pilots and drafted a plan for continuance of the committee along with an outline for future work to build a CMM. </w:t>
      </w:r>
    </w:p>
    <w:p w14:paraId="1A982FB9" w14:textId="77777777" w:rsidR="00417075" w:rsidRDefault="00417075" w:rsidP="00417075"/>
    <w:p w14:paraId="5B6B7FD5" w14:textId="77777777" w:rsidR="00417075" w:rsidRDefault="00417075" w:rsidP="00417075">
      <w:pPr>
        <w:pStyle w:val="Heading2"/>
      </w:pPr>
      <w:r>
        <w:t>IAC Year 1: 2022-2023</w:t>
      </w:r>
    </w:p>
    <w:p w14:paraId="4613EDFD" w14:textId="77777777" w:rsidR="00417075" w:rsidRDefault="00417075" w:rsidP="00417075">
      <w:r>
        <w:t xml:space="preserve">Work this year focused on longer-term resources to support the creation of accessible instructional materials. Accomplishments include the continuing and or restructuring or refining of pilots or existing resources: </w:t>
      </w:r>
    </w:p>
    <w:p w14:paraId="059DD410" w14:textId="77777777" w:rsidR="00417075" w:rsidRDefault="00417075" w:rsidP="0041707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Captioning program</w:t>
      </w:r>
    </w:p>
    <w:p w14:paraId="12DD126D" w14:textId="77777777" w:rsidR="00417075" w:rsidRDefault="00417075" w:rsidP="0041707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OER remediation program</w:t>
      </w:r>
    </w:p>
    <w:p w14:paraId="4618A44F" w14:textId="77777777" w:rsidR="00417075" w:rsidRDefault="00417075" w:rsidP="0041707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Accessibility Team (from Fast Track-centered to UDL-coordinator-centered)</w:t>
      </w:r>
    </w:p>
    <w:p w14:paraId="3A6433D4" w14:textId="77777777" w:rsidR="00417075" w:rsidRDefault="00417075" w:rsidP="0041707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t>DECT pilot</w:t>
      </w:r>
    </w:p>
    <w:p w14:paraId="312530A5" w14:textId="77777777" w:rsidR="00417075" w:rsidRDefault="00417075" w:rsidP="00417075">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pPr>
      <w:r>
        <w:lastRenderedPageBreak/>
        <w:t>UDL Coordinators for campuses</w:t>
      </w:r>
    </w:p>
    <w:p w14:paraId="115C3CF8" w14:textId="77777777" w:rsidR="00A008CB" w:rsidRDefault="00A008CB">
      <w:pPr>
        <w:pStyle w:val="Body"/>
        <w:spacing w:after="240"/>
      </w:pPr>
    </w:p>
    <w:sectPr w:rsidR="00A008CB">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10B34" w14:textId="77777777" w:rsidR="00374F1D" w:rsidRDefault="00374F1D">
      <w:r>
        <w:separator/>
      </w:r>
    </w:p>
  </w:endnote>
  <w:endnote w:type="continuationSeparator" w:id="0">
    <w:p w14:paraId="58301198" w14:textId="77777777" w:rsidR="00374F1D" w:rsidRDefault="0037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C730" w14:textId="77777777" w:rsidR="005B5ABF" w:rsidRDefault="00DB686F">
    <w:pPr>
      <w:pStyle w:val="Footer"/>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3D62" w14:textId="77777777" w:rsidR="00374F1D" w:rsidRDefault="00374F1D">
      <w:r>
        <w:separator/>
      </w:r>
    </w:p>
  </w:footnote>
  <w:footnote w:type="continuationSeparator" w:id="0">
    <w:p w14:paraId="22EB8F0D" w14:textId="77777777" w:rsidR="00374F1D" w:rsidRDefault="00374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6DA6" w14:textId="77777777" w:rsidR="005B5ABF" w:rsidRDefault="00DB686F">
    <w:pPr>
      <w:pStyle w:val="Header"/>
      <w:tabs>
        <w:tab w:val="clear" w:pos="4680"/>
      </w:tabs>
      <w:spacing w:after="240" w:line="360" w:lineRule="auto"/>
      <w:ind w:firstLine="6480"/>
      <w:jc w:val="center"/>
    </w:pPr>
    <w:r>
      <w:rPr>
        <w:noProof/>
      </w:rPr>
      <w:drawing>
        <wp:anchor distT="152400" distB="152400" distL="152400" distR="152400" simplePos="0" relativeHeight="251658240" behindDoc="1" locked="0" layoutInCell="1" allowOverlap="1" wp14:anchorId="532CD503" wp14:editId="72ADFFC5">
          <wp:simplePos x="0" y="0"/>
          <wp:positionH relativeFrom="page">
            <wp:posOffset>335280</wp:posOffset>
          </wp:positionH>
          <wp:positionV relativeFrom="page">
            <wp:posOffset>457200</wp:posOffset>
          </wp:positionV>
          <wp:extent cx="2056765" cy="950595"/>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officeArt object">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2056765" cy="950595"/>
                  </a:xfrm>
                  <a:prstGeom prst="rect">
                    <a:avLst/>
                  </a:prstGeom>
                  <a:ln w="12700" cap="flat">
                    <a:noFill/>
                    <a:miter lim="400000"/>
                  </a:ln>
                  <a:effectLst/>
                </pic:spPr>
              </pic:pic>
            </a:graphicData>
          </a:graphic>
        </wp:anchor>
      </w:drawing>
    </w:r>
    <w:r>
      <w:t>DAS President Alisa Shubb</w:t>
    </w:r>
  </w:p>
  <w:p w14:paraId="19AE838D" w14:textId="77777777" w:rsidR="005B5ABF" w:rsidRDefault="00DB686F">
    <w:pPr>
      <w:pStyle w:val="Header"/>
      <w:tabs>
        <w:tab w:val="clear" w:pos="4680"/>
      </w:tabs>
    </w:pPr>
    <w:r>
      <w:tab/>
      <w:t>ARC President Carina Hoffpauir</w:t>
    </w:r>
  </w:p>
  <w:p w14:paraId="56F970A5" w14:textId="2649949A" w:rsidR="005B5ABF" w:rsidRDefault="00DB686F">
    <w:pPr>
      <w:pStyle w:val="Header"/>
      <w:tabs>
        <w:tab w:val="clear" w:pos="4680"/>
      </w:tabs>
    </w:pPr>
    <w:r>
      <w:tab/>
      <w:t xml:space="preserve">CRC President </w:t>
    </w:r>
    <w:r w:rsidR="006C53C8">
      <w:t>Jacob Velasquez</w:t>
    </w:r>
  </w:p>
  <w:p w14:paraId="3A633B2A" w14:textId="77777777" w:rsidR="005B5ABF" w:rsidRDefault="00DB686F">
    <w:pPr>
      <w:pStyle w:val="Header"/>
      <w:tabs>
        <w:tab w:val="clear" w:pos="4680"/>
      </w:tabs>
    </w:pPr>
    <w:r>
      <w:tab/>
      <w:t>FLC President Eric Wada</w:t>
    </w:r>
  </w:p>
  <w:p w14:paraId="0BE19034" w14:textId="77777777" w:rsidR="005B5ABF" w:rsidRDefault="00DB686F">
    <w:pPr>
      <w:pStyle w:val="Header"/>
      <w:tabs>
        <w:tab w:val="clear" w:pos="4680"/>
      </w:tabs>
    </w:pPr>
    <w:r>
      <w:tab/>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AF4"/>
    <w:multiLevelType w:val="hybridMultilevel"/>
    <w:tmpl w:val="E53E1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3097"/>
    <w:multiLevelType w:val="hybridMultilevel"/>
    <w:tmpl w:val="288A8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E06C2"/>
    <w:multiLevelType w:val="hybridMultilevel"/>
    <w:tmpl w:val="A776D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B6A32"/>
    <w:multiLevelType w:val="hybridMultilevel"/>
    <w:tmpl w:val="2D907C94"/>
    <w:numStyleLink w:val="ImportedStyle3"/>
  </w:abstractNum>
  <w:abstractNum w:abstractNumId="4" w15:restartNumberingAfterBreak="0">
    <w:nsid w:val="1C07765B"/>
    <w:multiLevelType w:val="hybridMultilevel"/>
    <w:tmpl w:val="AEC41352"/>
    <w:styleLink w:val="ImportedStyle2"/>
    <w:lvl w:ilvl="0" w:tplc="8C7E30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22D2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654C6">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A26C9B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8438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D8F136">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24E10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1849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04B5D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D369EB"/>
    <w:multiLevelType w:val="hybridMultilevel"/>
    <w:tmpl w:val="E2B26242"/>
    <w:numStyleLink w:val="ImportedStyle6"/>
  </w:abstractNum>
  <w:abstractNum w:abstractNumId="6" w15:restartNumberingAfterBreak="0">
    <w:nsid w:val="409A26F7"/>
    <w:multiLevelType w:val="hybridMultilevel"/>
    <w:tmpl w:val="2D907C94"/>
    <w:styleLink w:val="ImportedStyle3"/>
    <w:lvl w:ilvl="0" w:tplc="AF90DB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5C3C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F2098C">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7C9A88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9A70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3AEF26">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26AA97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5450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80BFF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B246422"/>
    <w:multiLevelType w:val="hybridMultilevel"/>
    <w:tmpl w:val="6EFE9068"/>
    <w:styleLink w:val="ImportedStyle4"/>
    <w:lvl w:ilvl="0" w:tplc="6066AD16">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B6EF8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3CC0B0">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68E47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3272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D832B4">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8A08BD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58C6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2E758C">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E887B23"/>
    <w:multiLevelType w:val="hybridMultilevel"/>
    <w:tmpl w:val="AEC41352"/>
    <w:numStyleLink w:val="ImportedStyle2"/>
  </w:abstractNum>
  <w:abstractNum w:abstractNumId="9" w15:restartNumberingAfterBreak="0">
    <w:nsid w:val="512415D7"/>
    <w:multiLevelType w:val="hybridMultilevel"/>
    <w:tmpl w:val="2F8A18CA"/>
    <w:lvl w:ilvl="0" w:tplc="BD7278F6">
      <w:start w:val="6"/>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87CDD"/>
    <w:multiLevelType w:val="hybridMultilevel"/>
    <w:tmpl w:val="E2B26242"/>
    <w:styleLink w:val="ImportedStyle6"/>
    <w:lvl w:ilvl="0" w:tplc="D3F293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96C6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9476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F62B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467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20CD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663A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0A54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ACB2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52112CC"/>
    <w:multiLevelType w:val="hybridMultilevel"/>
    <w:tmpl w:val="B0E86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77324"/>
    <w:multiLevelType w:val="hybridMultilevel"/>
    <w:tmpl w:val="F42007A6"/>
    <w:styleLink w:val="ImportedStyle7"/>
    <w:lvl w:ilvl="0" w:tplc="E702EE18">
      <w:start w:val="1"/>
      <w:numFmt w:val="bullet"/>
      <w:lvlText w:val="·"/>
      <w:lvlJc w:val="left"/>
      <w:pPr>
        <w:ind w:left="7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6CAD66">
      <w:start w:val="1"/>
      <w:numFmt w:val="bullet"/>
      <w:lvlText w:val="o"/>
      <w:lvlJc w:val="left"/>
      <w:pPr>
        <w:ind w:left="14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BFC04A8">
      <w:start w:val="1"/>
      <w:numFmt w:val="bullet"/>
      <w:lvlText w:val="▪"/>
      <w:lvlJc w:val="left"/>
      <w:pPr>
        <w:ind w:left="22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DD262AC">
      <w:start w:val="1"/>
      <w:numFmt w:val="bullet"/>
      <w:lvlText w:val="•"/>
      <w:lvlJc w:val="left"/>
      <w:pPr>
        <w:ind w:left="29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34C3554">
      <w:start w:val="1"/>
      <w:numFmt w:val="bullet"/>
      <w:lvlText w:val="o"/>
      <w:lvlJc w:val="left"/>
      <w:pPr>
        <w:ind w:left="36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FEC5A6C">
      <w:start w:val="1"/>
      <w:numFmt w:val="bullet"/>
      <w:lvlText w:val="▪"/>
      <w:lvlJc w:val="left"/>
      <w:pPr>
        <w:ind w:left="43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5D4CAE0">
      <w:start w:val="1"/>
      <w:numFmt w:val="bullet"/>
      <w:lvlText w:val="•"/>
      <w:lvlJc w:val="left"/>
      <w:pPr>
        <w:ind w:left="50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3D4C78C">
      <w:start w:val="1"/>
      <w:numFmt w:val="bullet"/>
      <w:lvlText w:val="o"/>
      <w:lvlJc w:val="left"/>
      <w:pPr>
        <w:ind w:left="58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DC67454">
      <w:start w:val="1"/>
      <w:numFmt w:val="bullet"/>
      <w:lvlText w:val="▪"/>
      <w:lvlJc w:val="left"/>
      <w:pPr>
        <w:ind w:left="65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832477C"/>
    <w:multiLevelType w:val="hybridMultilevel"/>
    <w:tmpl w:val="66E6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63945"/>
    <w:multiLevelType w:val="hybridMultilevel"/>
    <w:tmpl w:val="6EFE9068"/>
    <w:numStyleLink w:val="ImportedStyle4"/>
  </w:abstractNum>
  <w:abstractNum w:abstractNumId="15" w15:restartNumberingAfterBreak="0">
    <w:nsid w:val="58992E97"/>
    <w:multiLevelType w:val="hybridMultilevel"/>
    <w:tmpl w:val="F42007A6"/>
    <w:numStyleLink w:val="ImportedStyle7"/>
  </w:abstractNum>
  <w:abstractNum w:abstractNumId="16" w15:restartNumberingAfterBreak="0">
    <w:nsid w:val="5AC87CE9"/>
    <w:multiLevelType w:val="hybridMultilevel"/>
    <w:tmpl w:val="AC96708A"/>
    <w:styleLink w:val="ImportedStyle5"/>
    <w:lvl w:ilvl="0" w:tplc="EAFC69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9BA3B6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C44CB70">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BACCAB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57450B6">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C882FE8">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76601F2">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632DD02">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AA0F5D2">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5F8A6AA6"/>
    <w:multiLevelType w:val="multilevel"/>
    <w:tmpl w:val="553E948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655C38FD"/>
    <w:multiLevelType w:val="hybridMultilevel"/>
    <w:tmpl w:val="17604270"/>
    <w:lvl w:ilvl="0" w:tplc="BD7278F6">
      <w:start w:val="6"/>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9081E"/>
    <w:multiLevelType w:val="hybridMultilevel"/>
    <w:tmpl w:val="99389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630835"/>
    <w:multiLevelType w:val="multilevel"/>
    <w:tmpl w:val="0E5C4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2A0B20"/>
    <w:multiLevelType w:val="hybridMultilevel"/>
    <w:tmpl w:val="A12A5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6A687E"/>
    <w:multiLevelType w:val="hybridMultilevel"/>
    <w:tmpl w:val="AC96708A"/>
    <w:numStyleLink w:val="ImportedStyle5"/>
  </w:abstractNum>
  <w:num w:numId="1">
    <w:abstractNumId w:val="4"/>
  </w:num>
  <w:num w:numId="2">
    <w:abstractNumId w:val="8"/>
  </w:num>
  <w:num w:numId="3">
    <w:abstractNumId w:val="8"/>
    <w:lvlOverride w:ilvl="0">
      <w:startOverride w:val="8"/>
    </w:lvlOverride>
  </w:num>
  <w:num w:numId="4">
    <w:abstractNumId w:val="6"/>
  </w:num>
  <w:num w:numId="5">
    <w:abstractNumId w:val="3"/>
  </w:num>
  <w:num w:numId="6">
    <w:abstractNumId w:val="3"/>
    <w:lvlOverride w:ilvl="0">
      <w:startOverride w:val="14"/>
    </w:lvlOverride>
  </w:num>
  <w:num w:numId="7">
    <w:abstractNumId w:val="7"/>
  </w:num>
  <w:num w:numId="8">
    <w:abstractNumId w:val="14"/>
  </w:num>
  <w:num w:numId="9">
    <w:abstractNumId w:val="16"/>
  </w:num>
  <w:num w:numId="10">
    <w:abstractNumId w:val="22"/>
  </w:num>
  <w:num w:numId="11">
    <w:abstractNumId w:val="10"/>
  </w:num>
  <w:num w:numId="12">
    <w:abstractNumId w:val="5"/>
  </w:num>
  <w:num w:numId="13">
    <w:abstractNumId w:val="12"/>
  </w:num>
  <w:num w:numId="14">
    <w:abstractNumId w:val="15"/>
  </w:num>
  <w:num w:numId="15">
    <w:abstractNumId w:val="13"/>
  </w:num>
  <w:num w:numId="16">
    <w:abstractNumId w:val="17"/>
  </w:num>
  <w:num w:numId="17">
    <w:abstractNumId w:val="20"/>
  </w:num>
  <w:num w:numId="18">
    <w:abstractNumId w:val="18"/>
  </w:num>
  <w:num w:numId="19">
    <w:abstractNumId w:val="9"/>
  </w:num>
  <w:num w:numId="20">
    <w:abstractNumId w:val="21"/>
  </w:num>
  <w:num w:numId="21">
    <w:abstractNumId w:val="1"/>
  </w:num>
  <w:num w:numId="22">
    <w:abstractNumId w:val="0"/>
  </w:num>
  <w:num w:numId="23">
    <w:abstractNumId w:val="19"/>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ABF"/>
    <w:rsid w:val="00033D12"/>
    <w:rsid w:val="000C6F5A"/>
    <w:rsid w:val="000D6CF7"/>
    <w:rsid w:val="00374F1D"/>
    <w:rsid w:val="00391E33"/>
    <w:rsid w:val="0040218A"/>
    <w:rsid w:val="00417075"/>
    <w:rsid w:val="0049066E"/>
    <w:rsid w:val="0052442F"/>
    <w:rsid w:val="005B5ABF"/>
    <w:rsid w:val="006C53C8"/>
    <w:rsid w:val="00711188"/>
    <w:rsid w:val="00725213"/>
    <w:rsid w:val="008A5030"/>
    <w:rsid w:val="008B7D02"/>
    <w:rsid w:val="0092619C"/>
    <w:rsid w:val="00A008CB"/>
    <w:rsid w:val="00A34948"/>
    <w:rsid w:val="00AB4B23"/>
    <w:rsid w:val="00AF3B53"/>
    <w:rsid w:val="00B813F6"/>
    <w:rsid w:val="00C94845"/>
    <w:rsid w:val="00DB686F"/>
    <w:rsid w:val="00E8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52A9"/>
  <w15:docId w15:val="{9C80DD8F-9F41-41AF-957E-FB1DD4F9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170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keepLines/>
      <w:spacing w:before="120" w:after="120"/>
      <w:outlineLvl w:val="1"/>
    </w:pPr>
    <w:rPr>
      <w:rFonts w:ascii="Calibri" w:eastAsia="Calibri" w:hAnsi="Calibri" w:cs="Calibri"/>
      <w:b/>
      <w:bCs/>
      <w:color w:val="01050A"/>
      <w:sz w:val="26"/>
      <w:szCs w:val="26"/>
      <w:u w:color="01050A"/>
      <w:shd w:val="clear" w:color="auto" w:fill="FFFFFF"/>
      <w14:textOutline w14:w="0" w14:cap="flat" w14:cmpd="sng" w14:algn="ctr">
        <w14:noFill/>
        <w14:prstDash w14:val="solid"/>
        <w14:bevel/>
      </w14:textOutline>
    </w:rPr>
  </w:style>
  <w:style w:type="paragraph" w:styleId="Heading3">
    <w:name w:val="heading 3"/>
    <w:basedOn w:val="Normal"/>
    <w:next w:val="Normal"/>
    <w:link w:val="Heading3Char"/>
    <w:uiPriority w:val="9"/>
    <w:semiHidden/>
    <w:unhideWhenUsed/>
    <w:qFormat/>
    <w:rsid w:val="0041707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170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680"/>
        <w:tab w:val="right" w:pos="9360"/>
      </w:tabs>
      <w:spacing w:before="120"/>
    </w:pPr>
    <w:rPr>
      <w:rFonts w:ascii="Calibri" w:eastAsia="Calibri" w:hAnsi="Calibri" w:cs="Calibri"/>
      <w:color w:val="01050A"/>
      <w:sz w:val="22"/>
      <w:szCs w:val="22"/>
      <w:u w:color="01050A"/>
    </w:rPr>
  </w:style>
  <w:style w:type="paragraph" w:styleId="Footer">
    <w:name w:val="footer"/>
    <w:pPr>
      <w:tabs>
        <w:tab w:val="center" w:pos="4680"/>
        <w:tab w:val="right" w:pos="9360"/>
      </w:tabs>
      <w:spacing w:before="120"/>
    </w:pPr>
    <w:rPr>
      <w:rFonts w:ascii="Calibri" w:eastAsia="Calibri" w:hAnsi="Calibri" w:cs="Calibri"/>
      <w:color w:val="01050A"/>
      <w:sz w:val="22"/>
      <w:szCs w:val="22"/>
      <w:u w:color="01050A"/>
    </w:rPr>
  </w:style>
  <w:style w:type="paragraph" w:customStyle="1" w:styleId="Heading">
    <w:name w:val="Heading"/>
    <w:next w:val="Body"/>
    <w:pPr>
      <w:spacing w:before="2" w:after="120"/>
      <w:ind w:right="27"/>
      <w:jc w:val="center"/>
      <w:outlineLvl w:val="0"/>
    </w:pPr>
    <w:rPr>
      <w:rFonts w:ascii="Calibri" w:eastAsia="Calibri" w:hAnsi="Calibri" w:cs="Calibri"/>
      <w:b/>
      <w:bCs/>
      <w:color w:val="01050A"/>
      <w:sz w:val="26"/>
      <w:szCs w:val="26"/>
      <w:u w:color="01050A"/>
      <w14:textOutline w14:w="0" w14:cap="flat" w14:cmpd="sng" w14:algn="ctr">
        <w14:noFill/>
        <w14:prstDash w14:val="solid"/>
        <w14:bevel/>
      </w14:textOutline>
    </w:rPr>
  </w:style>
  <w:style w:type="paragraph" w:customStyle="1" w:styleId="Body">
    <w:name w:val="Body"/>
    <w:pPr>
      <w:spacing w:before="120" w:after="120"/>
    </w:pPr>
    <w:rPr>
      <w:rFonts w:ascii="Calibri" w:eastAsia="Calibri" w:hAnsi="Calibri" w:cs="Calibri"/>
      <w:color w:val="01050A"/>
      <w:sz w:val="22"/>
      <w:szCs w:val="22"/>
      <w:u w:color="01050A"/>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uiPriority w:val="34"/>
    <w:qFormat/>
    <w:pPr>
      <w:spacing w:before="120" w:after="120"/>
    </w:pPr>
    <w:rPr>
      <w:rFonts w:ascii="Calibri" w:eastAsia="Calibri" w:hAnsi="Calibri" w:cs="Calibri"/>
      <w:color w:val="01050A"/>
      <w:sz w:val="22"/>
      <w:szCs w:val="22"/>
      <w:u w:color="01050A"/>
    </w:rPr>
  </w:style>
  <w:style w:type="numbering" w:customStyle="1" w:styleId="ImportedStyle2">
    <w:name w:val="Imported Style 2"/>
    <w:pPr>
      <w:numPr>
        <w:numId w:val="1"/>
      </w:numPr>
    </w:pPr>
  </w:style>
  <w:style w:type="character" w:customStyle="1" w:styleId="None">
    <w:name w:val="None"/>
  </w:style>
  <w:style w:type="character" w:customStyle="1" w:styleId="Hyperlink1">
    <w:name w:val="Hyperlink.1"/>
    <w:basedOn w:val="None"/>
    <w:rPr>
      <w:outline w:val="0"/>
      <w:color w:val="1155CC"/>
      <w:sz w:val="24"/>
      <w:szCs w:val="24"/>
      <w:u w:val="single" w:color="1155CC"/>
    </w:rPr>
  </w:style>
  <w:style w:type="paragraph" w:styleId="NormalWeb">
    <w:name w:val="Normal (Web)"/>
    <w:pPr>
      <w:spacing w:before="100" w:after="100"/>
    </w:pPr>
    <w:rPr>
      <w:rFonts w:ascii="Calibri" w:eastAsia="Calibri" w:hAnsi="Calibri" w:cs="Calibri"/>
      <w:color w:val="01050A"/>
      <w:sz w:val="24"/>
      <w:szCs w:val="24"/>
      <w:u w:color="01050A"/>
    </w:rPr>
  </w:style>
  <w:style w:type="character" w:customStyle="1" w:styleId="Hyperlink2">
    <w:name w:val="Hyperlink.2"/>
    <w:basedOn w:val="Link"/>
    <w:rPr>
      <w:outline w:val="0"/>
      <w:color w:val="0000FF"/>
      <w:sz w:val="22"/>
      <w:szCs w:val="22"/>
      <w:u w:val="single" w:color="0000FF"/>
    </w:r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character" w:customStyle="1" w:styleId="Hyperlink3">
    <w:name w:val="Hyperlink.3"/>
    <w:basedOn w:val="Link"/>
    <w:rPr>
      <w:outline w:val="0"/>
      <w:color w:val="0000FF"/>
      <w:sz w:val="20"/>
      <w:szCs w:val="20"/>
      <w:u w:val="single" w:color="0000FF"/>
      <w:shd w:val="clear" w:color="auto" w:fill="FFFFFF"/>
    </w:rPr>
  </w:style>
  <w:style w:type="character" w:styleId="UnresolvedMention">
    <w:name w:val="Unresolved Mention"/>
    <w:basedOn w:val="DefaultParagraphFont"/>
    <w:uiPriority w:val="99"/>
    <w:semiHidden/>
    <w:unhideWhenUsed/>
    <w:rsid w:val="00AF3B53"/>
    <w:rPr>
      <w:color w:val="605E5C"/>
      <w:shd w:val="clear" w:color="auto" w:fill="E1DFDD"/>
    </w:rPr>
  </w:style>
  <w:style w:type="character" w:styleId="FollowedHyperlink">
    <w:name w:val="FollowedHyperlink"/>
    <w:basedOn w:val="DefaultParagraphFont"/>
    <w:uiPriority w:val="99"/>
    <w:semiHidden/>
    <w:unhideWhenUsed/>
    <w:rsid w:val="000D6CF7"/>
    <w:rPr>
      <w:color w:val="FF00FF" w:themeColor="followedHyperlink"/>
      <w:u w:val="single"/>
    </w:rPr>
  </w:style>
  <w:style w:type="character" w:customStyle="1" w:styleId="Heading1Char">
    <w:name w:val="Heading 1 Char"/>
    <w:basedOn w:val="DefaultParagraphFont"/>
    <w:link w:val="Heading1"/>
    <w:uiPriority w:val="9"/>
    <w:rsid w:val="004170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707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17075"/>
    <w:rPr>
      <w:rFonts w:asciiTheme="majorHAnsi" w:eastAsiaTheme="majorEastAsia" w:hAnsiTheme="majorHAnsi" w:cstheme="majorBidi"/>
      <w:i/>
      <w:iCs/>
      <w:color w:val="2F5496" w:themeColor="accent1" w:themeShade="BF"/>
      <w:sz w:val="24"/>
      <w:szCs w:val="24"/>
    </w:rPr>
  </w:style>
  <w:style w:type="paragraph" w:styleId="Subtitle">
    <w:name w:val="Subtitle"/>
    <w:basedOn w:val="Normal"/>
    <w:next w:val="Normal"/>
    <w:link w:val="SubtitleChar"/>
    <w:uiPriority w:val="11"/>
    <w:qFormat/>
    <w:rsid w:val="0041707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line="276" w:lineRule="auto"/>
    </w:pPr>
    <w:rPr>
      <w:rFonts w:ascii="Avenir Book" w:eastAsia="Arial" w:hAnsi="Avenir Book" w:cs="Arial"/>
      <w:color w:val="666666"/>
      <w:sz w:val="30"/>
      <w:szCs w:val="30"/>
      <w:bdr w:val="none" w:sz="0" w:space="0" w:color="auto"/>
      <w:lang w:val="en"/>
    </w:rPr>
  </w:style>
  <w:style w:type="character" w:customStyle="1" w:styleId="SubtitleChar">
    <w:name w:val="Subtitle Char"/>
    <w:basedOn w:val="DefaultParagraphFont"/>
    <w:link w:val="Subtitle"/>
    <w:uiPriority w:val="11"/>
    <w:rsid w:val="00417075"/>
    <w:rPr>
      <w:rFonts w:ascii="Avenir Book" w:eastAsia="Arial" w:hAnsi="Avenir Book" w:cs="Arial"/>
      <w:color w:val="666666"/>
      <w:sz w:val="30"/>
      <w:szCs w:val="30"/>
      <w:bdr w:val="none" w:sz="0" w:space="0" w:color="auto"/>
      <w:lang w:val="en"/>
    </w:rPr>
  </w:style>
  <w:style w:type="character" w:styleId="Emphasis">
    <w:name w:val="Emphasis"/>
    <w:basedOn w:val="DefaultParagraphFont"/>
    <w:uiPriority w:val="20"/>
    <w:qFormat/>
    <w:rsid w:val="004170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rccd.instructure.com/courses/176134/quizzes/1697337?wrap=1" TargetMode="External"/><Relationship Id="rId13" Type="http://schemas.openxmlformats.org/officeDocument/2006/relationships/hyperlink" Target="https://docs.google.com/document/d/1iUgcCiyApzNnDOkzWc2a3Q7DhCiQFnvhd_Ym0QkiOsY/edit" TargetMode="External"/><Relationship Id="rId18" Type="http://schemas.openxmlformats.org/officeDocument/2006/relationships/hyperlink" Target="https://docs.google.com/document/d/1XCihUdf0ZykbJ3bSwJUkMHCs0VQcf7crXVD9VBvTRQc/edit?usp=sharing" TargetMode="External"/><Relationship Id="rId26" Type="http://schemas.openxmlformats.org/officeDocument/2006/relationships/hyperlink" Target="https://flc.losrios.edu/about-us/our-valu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rccd.zoom.us/j/84695861936?pwd=alhnSjMwTTAyRndOL1J0aTZNNHNSdz09" TargetMode="External"/><Relationship Id="rId12" Type="http://schemas.openxmlformats.org/officeDocument/2006/relationships/hyperlink" Target="https://docs.google.com/document/d/1iUgcCiyApzNnDOkzWc2a3Q7DhCiQFnvhd_Ym0QkiOsY/edit" TargetMode="External"/><Relationship Id="rId17" Type="http://schemas.openxmlformats.org/officeDocument/2006/relationships/hyperlink" Target="https://docs.google.com/document/d/1FIxM4IO21UWLgpHOCZ7nj0PXeqQCFDwT/edit" TargetMode="External"/><Relationship Id="rId25" Type="http://schemas.openxmlformats.org/officeDocument/2006/relationships/hyperlink" Target="https://crc.losrios.edu/about-us/our-values/equity-and-diversity/land-acknowledgment" TargetMode="External"/><Relationship Id="rId2" Type="http://schemas.openxmlformats.org/officeDocument/2006/relationships/styles" Target="styles.xml"/><Relationship Id="rId16" Type="http://schemas.openxmlformats.org/officeDocument/2006/relationships/hyperlink" Target="https://docs.google.com/document/d/1FArckmPSSCzyaCRSVYgJDhtqGPNvQgWA5-8SQJTBMNQ/edit?usp=sharing" TargetMode="External"/><Relationship Id="rId20" Type="http://schemas.openxmlformats.org/officeDocument/2006/relationships/hyperlink" Target="https://losrios.edu/about-los-rios/board-of-truste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iUgcCiyApzNnDOkzWc2a3Q7DhCiQFnvhd_Ym0QkiOsY/edit" TargetMode="External"/><Relationship Id="rId24" Type="http://schemas.openxmlformats.org/officeDocument/2006/relationships/hyperlink" Target="https://arc.losrios.edu/student-resources/native-american-resource-center" TargetMode="External"/><Relationship Id="rId5" Type="http://schemas.openxmlformats.org/officeDocument/2006/relationships/footnotes" Target="footnotes.xml"/><Relationship Id="rId15" Type="http://schemas.openxmlformats.org/officeDocument/2006/relationships/hyperlink" Target="https://losrios.edu/shared/doc/board/regulations/R-3412.pdf" TargetMode="External"/><Relationship Id="rId23" Type="http://schemas.openxmlformats.org/officeDocument/2006/relationships/hyperlink" Target="https://losrios.edu/about-los-rios/our-values/indigenous-land-acknowledgment" TargetMode="External"/><Relationship Id="rId28" Type="http://schemas.openxmlformats.org/officeDocument/2006/relationships/fontTable" Target="fontTable.xml"/><Relationship Id="rId10" Type="http://schemas.openxmlformats.org/officeDocument/2006/relationships/hyperlink" Target="https://docs.google.com/document/d/1iUgcCiyApzNnDOkzWc2a3Q7DhCiQFnvhd_Ym0QkiOsY/edit" TargetMode="External"/><Relationship Id="rId19" Type="http://schemas.openxmlformats.org/officeDocument/2006/relationships/hyperlink" Target="https://lrccd.instructure.com/courses/176134/discussion_topics/3023290?wrap=1" TargetMode="External"/><Relationship Id="rId4" Type="http://schemas.openxmlformats.org/officeDocument/2006/relationships/webSettings" Target="webSettings.xml"/><Relationship Id="rId9" Type="http://schemas.openxmlformats.org/officeDocument/2006/relationships/hyperlink" Target="https://docs.google.com/document/d/1iUgcCiyApzNnDOkzWc2a3Q7DhCiQFnvhd_Ym0QkiOsY/edit" TargetMode="External"/><Relationship Id="rId14" Type="http://schemas.openxmlformats.org/officeDocument/2006/relationships/hyperlink" Target="https://docs.google.com/document/d/1iUgcCiyApzNnDOkzWc2a3Q7DhCiQFnvhd_Ym0QkiOsY/edit" TargetMode="External"/><Relationship Id="rId22" Type="http://schemas.openxmlformats.org/officeDocument/2006/relationships/footer" Target="footer1.xml"/><Relationship Id="rId27" Type="http://schemas.openxmlformats.org/officeDocument/2006/relationships/hyperlink" Target="https://scc.losrios.edu/student-resources/native-american-student-success/land-acknowled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5577</Words>
  <Characters>31790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37293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David</dc:creator>
  <cp:lastModifiedBy>McCusker, David</cp:lastModifiedBy>
  <cp:revision>2</cp:revision>
  <cp:lastPrinted>2023-08-28T15:29:00Z</cp:lastPrinted>
  <dcterms:created xsi:type="dcterms:W3CDTF">2023-09-14T18:01:00Z</dcterms:created>
  <dcterms:modified xsi:type="dcterms:W3CDTF">2023-09-14T18:01:00Z</dcterms:modified>
</cp:coreProperties>
</file>