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D00A" w14:textId="77777777" w:rsidR="00064958" w:rsidRPr="007D71B5" w:rsidRDefault="005501B6" w:rsidP="005501B6">
      <w:pPr>
        <w:spacing w:after="0"/>
        <w:rPr>
          <w:b/>
          <w:sz w:val="24"/>
          <w:szCs w:val="24"/>
        </w:rPr>
      </w:pPr>
      <w:r w:rsidRPr="007D71B5">
        <w:rPr>
          <w:b/>
          <w:sz w:val="24"/>
          <w:szCs w:val="24"/>
        </w:rPr>
        <w:t>Los Rios Community College District</w:t>
      </w:r>
    </w:p>
    <w:p w14:paraId="44B9D35E" w14:textId="77777777" w:rsidR="005501B6" w:rsidRPr="007D71B5" w:rsidRDefault="005501B6" w:rsidP="005501B6">
      <w:pPr>
        <w:spacing w:after="0"/>
        <w:rPr>
          <w:b/>
          <w:sz w:val="24"/>
          <w:szCs w:val="24"/>
        </w:rPr>
      </w:pPr>
      <w:r w:rsidRPr="007D71B5">
        <w:rPr>
          <w:b/>
          <w:sz w:val="24"/>
          <w:szCs w:val="24"/>
        </w:rPr>
        <w:t>Budget Timeline and Allocation Processes</w:t>
      </w:r>
    </w:p>
    <w:p w14:paraId="27EE9EC8" w14:textId="399606FD" w:rsidR="005501B6" w:rsidRPr="007D71B5" w:rsidRDefault="004418A3" w:rsidP="005501B6">
      <w:pPr>
        <w:spacing w:after="0"/>
        <w:rPr>
          <w:b/>
          <w:sz w:val="24"/>
          <w:szCs w:val="24"/>
        </w:rPr>
      </w:pPr>
      <w:r w:rsidRPr="007D71B5">
        <w:rPr>
          <w:b/>
          <w:sz w:val="24"/>
          <w:szCs w:val="24"/>
        </w:rPr>
        <w:t>2021-22</w:t>
      </w:r>
    </w:p>
    <w:tbl>
      <w:tblPr>
        <w:tblStyle w:val="TableGrid"/>
        <w:tblW w:w="4993" w:type="dxa"/>
        <w:tblInd w:w="9805" w:type="dxa"/>
        <w:tblLook w:val="04A0" w:firstRow="1" w:lastRow="0" w:firstColumn="1" w:lastColumn="0" w:noHBand="0" w:noVBand="1"/>
      </w:tblPr>
      <w:tblGrid>
        <w:gridCol w:w="720"/>
        <w:gridCol w:w="2610"/>
        <w:gridCol w:w="1663"/>
      </w:tblGrid>
      <w:tr w:rsidR="00FC0B64" w14:paraId="6B6306BB" w14:textId="77777777" w:rsidTr="00FC0B64">
        <w:tc>
          <w:tcPr>
            <w:tcW w:w="720" w:type="dxa"/>
          </w:tcPr>
          <w:p w14:paraId="4117000D" w14:textId="01CDE7A6" w:rsidR="00FC0B64" w:rsidRDefault="00FC0B64" w:rsidP="00FC0B64">
            <w:pPr>
              <w:pStyle w:val="ListParagraph"/>
              <w:ind w:left="0"/>
            </w:pPr>
            <w:r>
              <w:t>Key:</w:t>
            </w:r>
          </w:p>
        </w:tc>
        <w:tc>
          <w:tcPr>
            <w:tcW w:w="2610" w:type="dxa"/>
            <w:shd w:val="clear" w:color="auto" w:fill="FFF2CC" w:themeFill="accent4" w:themeFillTint="33"/>
          </w:tcPr>
          <w:p w14:paraId="2A69CD63" w14:textId="53BF32F5" w:rsidR="00FC0B64" w:rsidRDefault="00FC0B64" w:rsidP="00FC0B64">
            <w:pPr>
              <w:pStyle w:val="ListParagraph"/>
              <w:ind w:left="0"/>
            </w:pPr>
            <w:r>
              <w:t>Following Fiscal Year (FY)</w:t>
            </w:r>
          </w:p>
        </w:tc>
        <w:tc>
          <w:tcPr>
            <w:tcW w:w="1663" w:type="dxa"/>
            <w:shd w:val="clear" w:color="auto" w:fill="FBE4D5" w:themeFill="accent2" w:themeFillTint="33"/>
          </w:tcPr>
          <w:p w14:paraId="37F92090" w14:textId="5770C5F6" w:rsidR="00FC0B64" w:rsidRDefault="00FC0B64" w:rsidP="00FC0B64">
            <w:pPr>
              <w:pStyle w:val="ListParagraph"/>
              <w:ind w:left="0"/>
            </w:pPr>
            <w:r>
              <w:t>Current FY</w:t>
            </w:r>
          </w:p>
        </w:tc>
      </w:tr>
    </w:tbl>
    <w:p w14:paraId="084E2C23" w14:textId="77777777" w:rsidR="005501B6" w:rsidRDefault="005501B6" w:rsidP="005501B6">
      <w:pPr>
        <w:pStyle w:val="ListParagraph"/>
      </w:pPr>
    </w:p>
    <w:tbl>
      <w:tblPr>
        <w:tblStyle w:val="TableGrid"/>
        <w:tblW w:w="15120" w:type="dxa"/>
        <w:tblInd w:w="85" w:type="dxa"/>
        <w:tblLook w:val="04A0" w:firstRow="1" w:lastRow="0" w:firstColumn="1" w:lastColumn="0" w:noHBand="0" w:noVBand="1"/>
      </w:tblPr>
      <w:tblGrid>
        <w:gridCol w:w="1288"/>
        <w:gridCol w:w="961"/>
        <w:gridCol w:w="1527"/>
        <w:gridCol w:w="4709"/>
        <w:gridCol w:w="2358"/>
        <w:gridCol w:w="2657"/>
        <w:gridCol w:w="1620"/>
      </w:tblGrid>
      <w:tr w:rsidR="00585C15" w:rsidRPr="005501B6" w14:paraId="635773AE" w14:textId="348685E1" w:rsidTr="007D71B5">
        <w:trPr>
          <w:cantSplit/>
          <w:tblHeader/>
        </w:trPr>
        <w:tc>
          <w:tcPr>
            <w:tcW w:w="1288" w:type="dxa"/>
          </w:tcPr>
          <w:p w14:paraId="39FFE726" w14:textId="77777777" w:rsidR="00585C15" w:rsidRPr="005501B6" w:rsidRDefault="00585C15" w:rsidP="005501B6">
            <w:pPr>
              <w:autoSpaceDE w:val="0"/>
              <w:autoSpaceDN w:val="0"/>
              <w:adjustRightInd w:val="0"/>
              <w:rPr>
                <w:b/>
              </w:rPr>
            </w:pPr>
            <w:r w:rsidRPr="005501B6">
              <w:rPr>
                <w:b/>
              </w:rPr>
              <w:t>Month</w:t>
            </w:r>
          </w:p>
        </w:tc>
        <w:tc>
          <w:tcPr>
            <w:tcW w:w="961" w:type="dxa"/>
          </w:tcPr>
          <w:p w14:paraId="29536BA2" w14:textId="77777777" w:rsidR="00585C15" w:rsidRPr="005501B6" w:rsidRDefault="00585C15" w:rsidP="005501B6">
            <w:pPr>
              <w:autoSpaceDE w:val="0"/>
              <w:autoSpaceDN w:val="0"/>
              <w:adjustRightInd w:val="0"/>
              <w:rPr>
                <w:b/>
              </w:rPr>
            </w:pPr>
            <w:r>
              <w:rPr>
                <w:b/>
              </w:rPr>
              <w:t>Level of Control</w:t>
            </w:r>
          </w:p>
        </w:tc>
        <w:tc>
          <w:tcPr>
            <w:tcW w:w="1527" w:type="dxa"/>
          </w:tcPr>
          <w:p w14:paraId="0054DCA1" w14:textId="77777777" w:rsidR="00585C15" w:rsidRPr="005501B6" w:rsidRDefault="00585C15" w:rsidP="005501B6">
            <w:pPr>
              <w:autoSpaceDE w:val="0"/>
              <w:autoSpaceDN w:val="0"/>
              <w:adjustRightInd w:val="0"/>
              <w:rPr>
                <w:b/>
              </w:rPr>
            </w:pPr>
            <w:r w:rsidRPr="005501B6">
              <w:rPr>
                <w:b/>
              </w:rPr>
              <w:t>For Fiscal Year</w:t>
            </w:r>
          </w:p>
        </w:tc>
        <w:tc>
          <w:tcPr>
            <w:tcW w:w="4709" w:type="dxa"/>
          </w:tcPr>
          <w:p w14:paraId="52A0B77F" w14:textId="77777777" w:rsidR="00585C15" w:rsidRPr="005501B6" w:rsidRDefault="00585C15" w:rsidP="005501B6">
            <w:pPr>
              <w:autoSpaceDE w:val="0"/>
              <w:autoSpaceDN w:val="0"/>
              <w:adjustRightInd w:val="0"/>
              <w:rPr>
                <w:b/>
              </w:rPr>
            </w:pPr>
            <w:r w:rsidRPr="005501B6">
              <w:rPr>
                <w:b/>
              </w:rPr>
              <w:t>Activity</w:t>
            </w:r>
          </w:p>
        </w:tc>
        <w:tc>
          <w:tcPr>
            <w:tcW w:w="2358" w:type="dxa"/>
          </w:tcPr>
          <w:p w14:paraId="7AAC6704" w14:textId="77777777" w:rsidR="00585C15" w:rsidRPr="005501B6" w:rsidRDefault="00585C15" w:rsidP="005501B6">
            <w:pPr>
              <w:autoSpaceDE w:val="0"/>
              <w:autoSpaceDN w:val="0"/>
              <w:adjustRightInd w:val="0"/>
              <w:rPr>
                <w:b/>
              </w:rPr>
            </w:pPr>
            <w:r w:rsidRPr="005501B6">
              <w:rPr>
                <w:b/>
              </w:rPr>
              <w:t>Notes</w:t>
            </w:r>
          </w:p>
        </w:tc>
        <w:tc>
          <w:tcPr>
            <w:tcW w:w="2657" w:type="dxa"/>
          </w:tcPr>
          <w:p w14:paraId="42F8F18D" w14:textId="74D6C30F" w:rsidR="00585C15" w:rsidRPr="005501B6" w:rsidRDefault="00AB3718" w:rsidP="005501B6">
            <w:pPr>
              <w:autoSpaceDE w:val="0"/>
              <w:autoSpaceDN w:val="0"/>
              <w:adjustRightInd w:val="0"/>
              <w:rPr>
                <w:b/>
              </w:rPr>
            </w:pPr>
            <w:r>
              <w:rPr>
                <w:b/>
              </w:rPr>
              <w:t>Additional Notes</w:t>
            </w:r>
          </w:p>
        </w:tc>
        <w:tc>
          <w:tcPr>
            <w:tcW w:w="1620" w:type="dxa"/>
          </w:tcPr>
          <w:p w14:paraId="27CACDC0" w14:textId="5C6DAD27" w:rsidR="00585C15" w:rsidRPr="005501B6" w:rsidRDefault="00AB3718" w:rsidP="005501B6">
            <w:pPr>
              <w:autoSpaceDE w:val="0"/>
              <w:autoSpaceDN w:val="0"/>
              <w:adjustRightInd w:val="0"/>
              <w:rPr>
                <w:b/>
              </w:rPr>
            </w:pPr>
            <w:r>
              <w:rPr>
                <w:b/>
              </w:rPr>
              <w:t>District Budget Committee</w:t>
            </w:r>
            <w:r w:rsidR="007D71B5">
              <w:rPr>
                <w:b/>
              </w:rPr>
              <w:t xml:space="preserve"> (DBC)</w:t>
            </w:r>
          </w:p>
        </w:tc>
      </w:tr>
      <w:tr w:rsidR="00585C15" w14:paraId="5A794B60" w14:textId="2A43FD64" w:rsidTr="007D71B5">
        <w:trPr>
          <w:cantSplit/>
        </w:trPr>
        <w:tc>
          <w:tcPr>
            <w:tcW w:w="1288" w:type="dxa"/>
            <w:shd w:val="clear" w:color="auto" w:fill="FFF2CC" w:themeFill="accent4" w:themeFillTint="33"/>
          </w:tcPr>
          <w:p w14:paraId="2CFDC2AA" w14:textId="77777777" w:rsidR="00585C15" w:rsidRDefault="00585C15" w:rsidP="005501B6">
            <w:pPr>
              <w:autoSpaceDE w:val="0"/>
              <w:autoSpaceDN w:val="0"/>
              <w:adjustRightInd w:val="0"/>
            </w:pPr>
            <w:r w:rsidRPr="005501B6">
              <w:rPr>
                <w:rFonts w:ascii="Calibri" w:hAnsi="Calibri" w:cs="Calibri"/>
                <w:sz w:val="24"/>
                <w:szCs w:val="24"/>
              </w:rPr>
              <w:t>JANUARY</w:t>
            </w:r>
          </w:p>
        </w:tc>
        <w:tc>
          <w:tcPr>
            <w:tcW w:w="961" w:type="dxa"/>
            <w:shd w:val="clear" w:color="auto" w:fill="FFF2CC" w:themeFill="accent4" w:themeFillTint="33"/>
          </w:tcPr>
          <w:p w14:paraId="1E21AF2E" w14:textId="77777777" w:rsidR="00585C15" w:rsidRDefault="00585C15" w:rsidP="005501B6">
            <w:pPr>
              <w:autoSpaceDE w:val="0"/>
              <w:autoSpaceDN w:val="0"/>
              <w:adjustRightInd w:val="0"/>
            </w:pPr>
            <w:r>
              <w:t>State</w:t>
            </w:r>
          </w:p>
        </w:tc>
        <w:tc>
          <w:tcPr>
            <w:tcW w:w="1527" w:type="dxa"/>
            <w:shd w:val="clear" w:color="auto" w:fill="FFF2CC" w:themeFill="accent4" w:themeFillTint="33"/>
          </w:tcPr>
          <w:p w14:paraId="0D4A2CC3" w14:textId="77777777" w:rsidR="00585C15" w:rsidRDefault="00585C15" w:rsidP="005501B6">
            <w:pPr>
              <w:autoSpaceDE w:val="0"/>
              <w:autoSpaceDN w:val="0"/>
              <w:adjustRightInd w:val="0"/>
            </w:pPr>
            <w:r>
              <w:t>Following Fiscal Year (FY)</w:t>
            </w:r>
          </w:p>
        </w:tc>
        <w:tc>
          <w:tcPr>
            <w:tcW w:w="4709" w:type="dxa"/>
            <w:shd w:val="clear" w:color="auto" w:fill="FFF2CC" w:themeFill="accent4" w:themeFillTint="33"/>
          </w:tcPr>
          <w:p w14:paraId="71A3FF64" w14:textId="1058CE96" w:rsidR="00585C15" w:rsidRDefault="00585C15" w:rsidP="005501B6">
            <w:pPr>
              <w:autoSpaceDE w:val="0"/>
              <w:autoSpaceDN w:val="0"/>
              <w:adjustRightInd w:val="0"/>
            </w:pPr>
            <w:r w:rsidRPr="005501B6">
              <w:rPr>
                <w:rFonts w:ascii="Calibri" w:hAnsi="Calibri" w:cs="Calibri"/>
                <w:sz w:val="24"/>
                <w:szCs w:val="24"/>
              </w:rPr>
              <w:t>The budget process begins in January with the release of the Governor’s proposed budget for the upcoming year. The January proposal reflects the Governor's goals and objectives for the forthcoming year and highlights significant issues, policies, and</w:t>
            </w:r>
            <w:r>
              <w:rPr>
                <w:rFonts w:ascii="Calibri" w:hAnsi="Calibri" w:cs="Calibri"/>
                <w:sz w:val="24"/>
                <w:szCs w:val="24"/>
              </w:rPr>
              <w:t xml:space="preserve"> </w:t>
            </w:r>
            <w:r w:rsidRPr="005501B6">
              <w:rPr>
                <w:rFonts w:ascii="Calibri" w:hAnsi="Calibri" w:cs="Calibri"/>
                <w:sz w:val="24"/>
                <w:szCs w:val="24"/>
              </w:rPr>
              <w:t>initiatives of the Administration</w:t>
            </w:r>
          </w:p>
        </w:tc>
        <w:tc>
          <w:tcPr>
            <w:tcW w:w="2358" w:type="dxa"/>
            <w:shd w:val="clear" w:color="auto" w:fill="FFF2CC" w:themeFill="accent4" w:themeFillTint="33"/>
          </w:tcPr>
          <w:p w14:paraId="3B899544" w14:textId="77777777" w:rsidR="00585C15" w:rsidRDefault="00585C15" w:rsidP="005501B6">
            <w:pPr>
              <w:autoSpaceDE w:val="0"/>
              <w:autoSpaceDN w:val="0"/>
              <w:adjustRightInd w:val="0"/>
            </w:pPr>
            <w:r>
              <w:t>January 2022 State budget process begins for fiscal year 2022-23</w:t>
            </w:r>
          </w:p>
        </w:tc>
        <w:tc>
          <w:tcPr>
            <w:tcW w:w="2657" w:type="dxa"/>
            <w:shd w:val="clear" w:color="auto" w:fill="FFF2CC" w:themeFill="accent4" w:themeFillTint="33"/>
          </w:tcPr>
          <w:p w14:paraId="283027F3" w14:textId="31D96990" w:rsidR="00585C15" w:rsidRDefault="00585C15" w:rsidP="005501B6">
            <w:pPr>
              <w:autoSpaceDE w:val="0"/>
              <w:autoSpaceDN w:val="0"/>
              <w:adjustRightInd w:val="0"/>
            </w:pPr>
            <w:r>
              <w:t xml:space="preserve">After initial budget proposed, other parties weigh in on the allocations, including the </w:t>
            </w:r>
            <w:r w:rsidR="00436A87">
              <w:t xml:space="preserve">Department of Finance, </w:t>
            </w:r>
            <w:r>
              <w:t>Legislative Analyst’s Office, Board of Governors, Faculty Associate of Ca. Community Colleges, and other influential groups</w:t>
            </w:r>
          </w:p>
        </w:tc>
        <w:tc>
          <w:tcPr>
            <w:tcW w:w="1620" w:type="dxa"/>
            <w:shd w:val="clear" w:color="auto" w:fill="FFF2CC" w:themeFill="accent4" w:themeFillTint="33"/>
          </w:tcPr>
          <w:p w14:paraId="0D5CB97A" w14:textId="671AD594" w:rsidR="00585C15" w:rsidRDefault="00AB3718" w:rsidP="005501B6">
            <w:pPr>
              <w:autoSpaceDE w:val="0"/>
              <w:autoSpaceDN w:val="0"/>
              <w:adjustRightInd w:val="0"/>
            </w:pPr>
            <w:r>
              <w:t>Update of State budget presented to the District Budget Committee (DBC) by the Vice Chancellor, Finance &amp; Admin. (VC)</w:t>
            </w:r>
          </w:p>
        </w:tc>
      </w:tr>
      <w:tr w:rsidR="00585C15" w14:paraId="3FFB588C" w14:textId="3944301F" w:rsidTr="007D71B5">
        <w:trPr>
          <w:cantSplit/>
        </w:trPr>
        <w:tc>
          <w:tcPr>
            <w:tcW w:w="1288" w:type="dxa"/>
            <w:shd w:val="clear" w:color="auto" w:fill="F7CAAC" w:themeFill="accent2" w:themeFillTint="66"/>
          </w:tcPr>
          <w:p w14:paraId="7A4D8141" w14:textId="77777777" w:rsidR="00585C15" w:rsidRPr="005501B6" w:rsidRDefault="00585C15" w:rsidP="00966091">
            <w:pPr>
              <w:autoSpaceDE w:val="0"/>
              <w:autoSpaceDN w:val="0"/>
              <w:adjustRightInd w:val="0"/>
              <w:rPr>
                <w:rFonts w:ascii="Calibri" w:hAnsi="Calibri" w:cs="Calibri"/>
                <w:sz w:val="24"/>
                <w:szCs w:val="24"/>
              </w:rPr>
            </w:pPr>
            <w:r>
              <w:rPr>
                <w:rFonts w:ascii="Calibri" w:hAnsi="Calibri" w:cs="Calibri"/>
                <w:sz w:val="24"/>
                <w:szCs w:val="24"/>
              </w:rPr>
              <w:t>JANUARY</w:t>
            </w:r>
          </w:p>
        </w:tc>
        <w:tc>
          <w:tcPr>
            <w:tcW w:w="961" w:type="dxa"/>
            <w:shd w:val="clear" w:color="auto" w:fill="F7CAAC" w:themeFill="accent2" w:themeFillTint="66"/>
          </w:tcPr>
          <w:p w14:paraId="0A64A396" w14:textId="77777777" w:rsidR="00585C15" w:rsidRDefault="00585C15" w:rsidP="00966091">
            <w:pPr>
              <w:autoSpaceDE w:val="0"/>
              <w:autoSpaceDN w:val="0"/>
              <w:adjustRightInd w:val="0"/>
            </w:pPr>
            <w:r>
              <w:t>Colleges</w:t>
            </w:r>
          </w:p>
        </w:tc>
        <w:tc>
          <w:tcPr>
            <w:tcW w:w="1527" w:type="dxa"/>
            <w:shd w:val="clear" w:color="auto" w:fill="F7CAAC" w:themeFill="accent2" w:themeFillTint="66"/>
          </w:tcPr>
          <w:p w14:paraId="51E46677" w14:textId="77777777" w:rsidR="00585C15" w:rsidRDefault="00585C15" w:rsidP="00966091">
            <w:pPr>
              <w:autoSpaceDE w:val="0"/>
              <w:autoSpaceDN w:val="0"/>
              <w:adjustRightInd w:val="0"/>
            </w:pPr>
            <w:r>
              <w:t>Current FY</w:t>
            </w:r>
          </w:p>
        </w:tc>
        <w:tc>
          <w:tcPr>
            <w:tcW w:w="4709" w:type="dxa"/>
            <w:shd w:val="clear" w:color="auto" w:fill="F7CAAC" w:themeFill="accent2" w:themeFillTint="66"/>
          </w:tcPr>
          <w:p w14:paraId="423BCD2E" w14:textId="77777777" w:rsidR="00585C15" w:rsidRPr="005501B6" w:rsidRDefault="00585C15" w:rsidP="00966091">
            <w:pPr>
              <w:autoSpaceDE w:val="0"/>
              <w:autoSpaceDN w:val="0"/>
              <w:adjustRightInd w:val="0"/>
              <w:rPr>
                <w:rFonts w:ascii="Calibri" w:hAnsi="Calibri" w:cs="Calibri"/>
                <w:sz w:val="24"/>
                <w:szCs w:val="24"/>
              </w:rPr>
            </w:pPr>
            <w:r>
              <w:rPr>
                <w:rFonts w:ascii="Calibri" w:hAnsi="Calibri" w:cs="Calibri"/>
                <w:sz w:val="24"/>
                <w:szCs w:val="24"/>
              </w:rPr>
              <w:t>Final college allocations received in December and Colleges use their process to allocate funds locally</w:t>
            </w:r>
          </w:p>
        </w:tc>
        <w:tc>
          <w:tcPr>
            <w:tcW w:w="2358" w:type="dxa"/>
            <w:shd w:val="clear" w:color="auto" w:fill="F7CAAC" w:themeFill="accent2" w:themeFillTint="66"/>
          </w:tcPr>
          <w:p w14:paraId="0B3B3169" w14:textId="39F006F8" w:rsidR="00585C15" w:rsidRDefault="00585C15" w:rsidP="00966091">
            <w:pPr>
              <w:autoSpaceDE w:val="0"/>
              <w:autoSpaceDN w:val="0"/>
              <w:adjustRightInd w:val="0"/>
            </w:pPr>
            <w:r>
              <w:t>Exact timing and process may vary by College</w:t>
            </w:r>
            <w:r w:rsidR="0050090E">
              <w:t>. This allocation is from the 20% of the budget not allocated to the units.</w:t>
            </w:r>
          </w:p>
        </w:tc>
        <w:tc>
          <w:tcPr>
            <w:tcW w:w="2657" w:type="dxa"/>
            <w:shd w:val="clear" w:color="auto" w:fill="F7CAAC" w:themeFill="accent2" w:themeFillTint="66"/>
          </w:tcPr>
          <w:p w14:paraId="78E3387F" w14:textId="6B89D78E" w:rsidR="00585C15" w:rsidRDefault="0050090E" w:rsidP="00966091">
            <w:pPr>
              <w:autoSpaceDE w:val="0"/>
              <w:autoSpaceDN w:val="0"/>
              <w:adjustRightInd w:val="0"/>
            </w:pPr>
            <w:r>
              <w:t>Allocations include College Discretionary Funds (CDF), Program Development Fund (PDF), Lotter</w:t>
            </w:r>
            <w:r w:rsidR="00C168DA">
              <w:t>y</w:t>
            </w:r>
            <w:r>
              <w:t xml:space="preserve"> and State Instruction</w:t>
            </w:r>
            <w:r w:rsidR="00C168DA">
              <w:t>al</w:t>
            </w:r>
            <w:r>
              <w:t xml:space="preserve"> Equipment Fund (SIEF)</w:t>
            </w:r>
          </w:p>
        </w:tc>
        <w:tc>
          <w:tcPr>
            <w:tcW w:w="1620" w:type="dxa"/>
            <w:shd w:val="clear" w:color="auto" w:fill="F7CAAC" w:themeFill="accent2" w:themeFillTint="66"/>
          </w:tcPr>
          <w:p w14:paraId="07F6F4F3" w14:textId="77777777" w:rsidR="00585C15" w:rsidRDefault="00585C15" w:rsidP="00966091">
            <w:pPr>
              <w:autoSpaceDE w:val="0"/>
              <w:autoSpaceDN w:val="0"/>
              <w:adjustRightInd w:val="0"/>
            </w:pPr>
          </w:p>
        </w:tc>
      </w:tr>
      <w:tr w:rsidR="00585C15" w14:paraId="46CCBDE6" w14:textId="281FC008" w:rsidTr="007D71B5">
        <w:trPr>
          <w:cantSplit/>
        </w:trPr>
        <w:tc>
          <w:tcPr>
            <w:tcW w:w="1288" w:type="dxa"/>
            <w:shd w:val="clear" w:color="auto" w:fill="FFF2CC" w:themeFill="accent4" w:themeFillTint="33"/>
          </w:tcPr>
          <w:p w14:paraId="2880C8CE" w14:textId="77777777" w:rsidR="00585C15" w:rsidRDefault="00585C15" w:rsidP="00966091">
            <w:pPr>
              <w:autoSpaceDE w:val="0"/>
              <w:autoSpaceDN w:val="0"/>
              <w:adjustRightInd w:val="0"/>
            </w:pPr>
            <w:r w:rsidRPr="005501B6">
              <w:rPr>
                <w:rFonts w:ascii="Calibri" w:hAnsi="Calibri" w:cs="Calibri"/>
                <w:sz w:val="24"/>
                <w:szCs w:val="24"/>
              </w:rPr>
              <w:t>MAY</w:t>
            </w:r>
          </w:p>
        </w:tc>
        <w:tc>
          <w:tcPr>
            <w:tcW w:w="961" w:type="dxa"/>
            <w:shd w:val="clear" w:color="auto" w:fill="FFF2CC" w:themeFill="accent4" w:themeFillTint="33"/>
          </w:tcPr>
          <w:p w14:paraId="6FA4476C" w14:textId="77777777" w:rsidR="00585C15" w:rsidRDefault="00585C15" w:rsidP="00966091">
            <w:pPr>
              <w:autoSpaceDE w:val="0"/>
              <w:autoSpaceDN w:val="0"/>
              <w:adjustRightInd w:val="0"/>
            </w:pPr>
            <w:r>
              <w:t>State</w:t>
            </w:r>
          </w:p>
        </w:tc>
        <w:tc>
          <w:tcPr>
            <w:tcW w:w="1527" w:type="dxa"/>
            <w:shd w:val="clear" w:color="auto" w:fill="FFF2CC" w:themeFill="accent4" w:themeFillTint="33"/>
          </w:tcPr>
          <w:p w14:paraId="0C54EA1B" w14:textId="77777777" w:rsidR="00585C15" w:rsidRDefault="00585C15" w:rsidP="00966091">
            <w:pPr>
              <w:autoSpaceDE w:val="0"/>
              <w:autoSpaceDN w:val="0"/>
              <w:adjustRightInd w:val="0"/>
            </w:pPr>
            <w:r>
              <w:t>Following FY</w:t>
            </w:r>
          </w:p>
        </w:tc>
        <w:tc>
          <w:tcPr>
            <w:tcW w:w="4709" w:type="dxa"/>
            <w:shd w:val="clear" w:color="auto" w:fill="FFF2CC" w:themeFill="accent4" w:themeFillTint="33"/>
          </w:tcPr>
          <w:p w14:paraId="30A5C8A1" w14:textId="3B7D9D9D" w:rsidR="00585C15" w:rsidRDefault="00585C15" w:rsidP="00966091">
            <w:pPr>
              <w:autoSpaceDE w:val="0"/>
              <w:autoSpaceDN w:val="0"/>
              <w:adjustRightInd w:val="0"/>
            </w:pPr>
            <w:r w:rsidRPr="005501B6">
              <w:rPr>
                <w:rFonts w:ascii="Calibri" w:hAnsi="Calibri" w:cs="Calibri"/>
                <w:sz w:val="24"/>
                <w:szCs w:val="24"/>
              </w:rPr>
              <w:t>At the May Revise, the Governor updates his initial proposal to reflect changes in projected revenues as well as appropriations, which generally are the result of dialog and negotiations with the State’s legislative bodies following the January proposal</w:t>
            </w:r>
          </w:p>
        </w:tc>
        <w:tc>
          <w:tcPr>
            <w:tcW w:w="2358" w:type="dxa"/>
            <w:shd w:val="clear" w:color="auto" w:fill="FFF2CC" w:themeFill="accent4" w:themeFillTint="33"/>
          </w:tcPr>
          <w:p w14:paraId="630E9284" w14:textId="77777777" w:rsidR="00585C15" w:rsidRDefault="00585C15" w:rsidP="00966091">
            <w:pPr>
              <w:autoSpaceDE w:val="0"/>
              <w:autoSpaceDN w:val="0"/>
              <w:adjustRightInd w:val="0"/>
            </w:pPr>
            <w:r>
              <w:t>May 2022 State budget revision for fiscal year 2022-23</w:t>
            </w:r>
          </w:p>
        </w:tc>
        <w:tc>
          <w:tcPr>
            <w:tcW w:w="2657" w:type="dxa"/>
            <w:shd w:val="clear" w:color="auto" w:fill="FFF2CC" w:themeFill="accent4" w:themeFillTint="33"/>
          </w:tcPr>
          <w:p w14:paraId="4117BD7A" w14:textId="77777777" w:rsidR="00585C15" w:rsidRDefault="00585C15" w:rsidP="00C47590">
            <w:pPr>
              <w:autoSpaceDE w:val="0"/>
              <w:autoSpaceDN w:val="0"/>
              <w:adjustRightInd w:val="0"/>
            </w:pPr>
          </w:p>
        </w:tc>
        <w:tc>
          <w:tcPr>
            <w:tcW w:w="1620" w:type="dxa"/>
            <w:shd w:val="clear" w:color="auto" w:fill="FFF2CC" w:themeFill="accent4" w:themeFillTint="33"/>
          </w:tcPr>
          <w:p w14:paraId="6516BDC2" w14:textId="6D276E2C" w:rsidR="00585C15" w:rsidRDefault="00AB3718" w:rsidP="00C47590">
            <w:pPr>
              <w:autoSpaceDE w:val="0"/>
              <w:autoSpaceDN w:val="0"/>
              <w:adjustRightInd w:val="0"/>
            </w:pPr>
            <w:r>
              <w:t>Update provided to DBC by VC</w:t>
            </w:r>
          </w:p>
        </w:tc>
      </w:tr>
      <w:tr w:rsidR="00585C15" w14:paraId="1B17EF62" w14:textId="347AA6ED" w:rsidTr="007D71B5">
        <w:trPr>
          <w:cantSplit/>
        </w:trPr>
        <w:tc>
          <w:tcPr>
            <w:tcW w:w="1288" w:type="dxa"/>
            <w:shd w:val="clear" w:color="auto" w:fill="FFF2CC" w:themeFill="accent4" w:themeFillTint="33"/>
          </w:tcPr>
          <w:p w14:paraId="379DEC75" w14:textId="77777777" w:rsidR="00585C15" w:rsidRPr="005501B6" w:rsidRDefault="00585C15" w:rsidP="00966091">
            <w:pPr>
              <w:autoSpaceDE w:val="0"/>
              <w:autoSpaceDN w:val="0"/>
              <w:adjustRightInd w:val="0"/>
              <w:rPr>
                <w:rFonts w:ascii="Calibri" w:hAnsi="Calibri" w:cs="Calibri"/>
                <w:sz w:val="24"/>
                <w:szCs w:val="24"/>
              </w:rPr>
            </w:pPr>
            <w:r>
              <w:rPr>
                <w:rFonts w:ascii="Calibri" w:hAnsi="Calibri" w:cs="Calibri"/>
                <w:sz w:val="24"/>
                <w:szCs w:val="24"/>
              </w:rPr>
              <w:t>MAY/JUNE</w:t>
            </w:r>
          </w:p>
        </w:tc>
        <w:tc>
          <w:tcPr>
            <w:tcW w:w="961" w:type="dxa"/>
            <w:shd w:val="clear" w:color="auto" w:fill="FFF2CC" w:themeFill="accent4" w:themeFillTint="33"/>
          </w:tcPr>
          <w:p w14:paraId="40851E6B" w14:textId="77777777" w:rsidR="00585C15" w:rsidRDefault="00585C15" w:rsidP="00966091">
            <w:pPr>
              <w:autoSpaceDE w:val="0"/>
              <w:autoSpaceDN w:val="0"/>
              <w:adjustRightInd w:val="0"/>
            </w:pPr>
            <w:r>
              <w:t>Colleges</w:t>
            </w:r>
          </w:p>
        </w:tc>
        <w:tc>
          <w:tcPr>
            <w:tcW w:w="1527" w:type="dxa"/>
            <w:shd w:val="clear" w:color="auto" w:fill="FFF2CC" w:themeFill="accent4" w:themeFillTint="33"/>
          </w:tcPr>
          <w:p w14:paraId="4DECC783" w14:textId="77777777" w:rsidR="00585C15" w:rsidRDefault="00585C15" w:rsidP="00966091">
            <w:pPr>
              <w:autoSpaceDE w:val="0"/>
              <w:autoSpaceDN w:val="0"/>
              <w:adjustRightInd w:val="0"/>
            </w:pPr>
            <w:r>
              <w:t>Following FY</w:t>
            </w:r>
          </w:p>
        </w:tc>
        <w:tc>
          <w:tcPr>
            <w:tcW w:w="4709" w:type="dxa"/>
            <w:shd w:val="clear" w:color="auto" w:fill="FFF2CC" w:themeFill="accent4" w:themeFillTint="33"/>
          </w:tcPr>
          <w:p w14:paraId="0FAEC1DD" w14:textId="19D92C1A" w:rsidR="00585C15" w:rsidRPr="005501B6" w:rsidRDefault="00585C15" w:rsidP="00966091">
            <w:pPr>
              <w:autoSpaceDE w:val="0"/>
              <w:autoSpaceDN w:val="0"/>
              <w:adjustRightInd w:val="0"/>
              <w:rPr>
                <w:rFonts w:ascii="Calibri" w:hAnsi="Calibri" w:cs="Calibri"/>
                <w:sz w:val="24"/>
                <w:szCs w:val="24"/>
              </w:rPr>
            </w:pPr>
            <w:r>
              <w:rPr>
                <w:rFonts w:ascii="Calibri" w:hAnsi="Calibri" w:cs="Calibri"/>
                <w:sz w:val="24"/>
                <w:szCs w:val="24"/>
              </w:rPr>
              <w:t>Colleges allocate budget for next FY using estimates</w:t>
            </w:r>
          </w:p>
        </w:tc>
        <w:tc>
          <w:tcPr>
            <w:tcW w:w="2358" w:type="dxa"/>
            <w:shd w:val="clear" w:color="auto" w:fill="FFF2CC" w:themeFill="accent4" w:themeFillTint="33"/>
          </w:tcPr>
          <w:p w14:paraId="3E4FE386" w14:textId="1CBA74A3" w:rsidR="00585C15" w:rsidRDefault="00585C15" w:rsidP="00966091">
            <w:pPr>
              <w:autoSpaceDE w:val="0"/>
              <w:autoSpaceDN w:val="0"/>
              <w:adjustRightInd w:val="0"/>
            </w:pPr>
            <w:r>
              <w:t>Initial budget established at the College level (e.g. – CDF, lottery, SIEF, carry over)</w:t>
            </w:r>
          </w:p>
        </w:tc>
        <w:tc>
          <w:tcPr>
            <w:tcW w:w="2657" w:type="dxa"/>
            <w:shd w:val="clear" w:color="auto" w:fill="FFF2CC" w:themeFill="accent4" w:themeFillTint="33"/>
          </w:tcPr>
          <w:p w14:paraId="19D853EA" w14:textId="77777777" w:rsidR="00585C15" w:rsidRDefault="00585C15" w:rsidP="00C47590">
            <w:pPr>
              <w:autoSpaceDE w:val="0"/>
              <w:autoSpaceDN w:val="0"/>
              <w:adjustRightInd w:val="0"/>
            </w:pPr>
          </w:p>
        </w:tc>
        <w:tc>
          <w:tcPr>
            <w:tcW w:w="1620" w:type="dxa"/>
            <w:shd w:val="clear" w:color="auto" w:fill="FFF2CC" w:themeFill="accent4" w:themeFillTint="33"/>
          </w:tcPr>
          <w:p w14:paraId="606297B4" w14:textId="77777777" w:rsidR="00585C15" w:rsidRDefault="00585C15" w:rsidP="00C47590">
            <w:pPr>
              <w:autoSpaceDE w:val="0"/>
              <w:autoSpaceDN w:val="0"/>
              <w:adjustRightInd w:val="0"/>
            </w:pPr>
          </w:p>
        </w:tc>
      </w:tr>
      <w:tr w:rsidR="00585C15" w14:paraId="46FD0983" w14:textId="4162CAC7" w:rsidTr="007D71B5">
        <w:trPr>
          <w:cantSplit/>
        </w:trPr>
        <w:tc>
          <w:tcPr>
            <w:tcW w:w="1288" w:type="dxa"/>
            <w:shd w:val="clear" w:color="auto" w:fill="FFF2CC" w:themeFill="accent4" w:themeFillTint="33"/>
          </w:tcPr>
          <w:p w14:paraId="00473EFF" w14:textId="77777777" w:rsidR="00585C15" w:rsidRDefault="00585C15" w:rsidP="00966091">
            <w:pPr>
              <w:autoSpaceDE w:val="0"/>
              <w:autoSpaceDN w:val="0"/>
              <w:adjustRightInd w:val="0"/>
            </w:pPr>
            <w:r>
              <w:lastRenderedPageBreak/>
              <w:t>JUNE</w:t>
            </w:r>
          </w:p>
        </w:tc>
        <w:tc>
          <w:tcPr>
            <w:tcW w:w="961" w:type="dxa"/>
            <w:shd w:val="clear" w:color="auto" w:fill="FFF2CC" w:themeFill="accent4" w:themeFillTint="33"/>
          </w:tcPr>
          <w:p w14:paraId="48487F8C" w14:textId="77777777" w:rsidR="00585C15" w:rsidRDefault="00585C15" w:rsidP="00966091">
            <w:pPr>
              <w:autoSpaceDE w:val="0"/>
              <w:autoSpaceDN w:val="0"/>
              <w:adjustRightInd w:val="0"/>
            </w:pPr>
            <w:r>
              <w:t>State</w:t>
            </w:r>
          </w:p>
        </w:tc>
        <w:tc>
          <w:tcPr>
            <w:tcW w:w="1527" w:type="dxa"/>
            <w:shd w:val="clear" w:color="auto" w:fill="FFF2CC" w:themeFill="accent4" w:themeFillTint="33"/>
          </w:tcPr>
          <w:p w14:paraId="2051FF92" w14:textId="77777777" w:rsidR="00585C15" w:rsidRDefault="00585C15" w:rsidP="00966091">
            <w:pPr>
              <w:autoSpaceDE w:val="0"/>
              <w:autoSpaceDN w:val="0"/>
              <w:adjustRightInd w:val="0"/>
            </w:pPr>
            <w:r>
              <w:t>Following FY</w:t>
            </w:r>
          </w:p>
        </w:tc>
        <w:tc>
          <w:tcPr>
            <w:tcW w:w="4709" w:type="dxa"/>
            <w:shd w:val="clear" w:color="auto" w:fill="FFF2CC" w:themeFill="accent4" w:themeFillTint="33"/>
          </w:tcPr>
          <w:p w14:paraId="04C64083" w14:textId="566C7534" w:rsidR="00585C15" w:rsidRDefault="00585C15" w:rsidP="00966091">
            <w:pPr>
              <w:autoSpaceDE w:val="0"/>
              <w:autoSpaceDN w:val="0"/>
              <w:adjustRightInd w:val="0"/>
            </w:pPr>
            <w:r w:rsidRPr="005501B6">
              <w:rPr>
                <w:rFonts w:ascii="Calibri" w:hAnsi="Calibri" w:cs="Calibri"/>
                <w:sz w:val="24"/>
                <w:szCs w:val="24"/>
              </w:rPr>
              <w:t>With the issuance of the May Revise, the legislature begins its final budget process which, by law, is to result in a budget by June 15</w:t>
            </w:r>
            <w:r w:rsidRPr="005501B6">
              <w:rPr>
                <w:rFonts w:ascii="Calibri" w:hAnsi="Calibri" w:cs="Calibri"/>
                <w:sz w:val="17"/>
                <w:szCs w:val="17"/>
              </w:rPr>
              <w:t xml:space="preserve">th </w:t>
            </w:r>
            <w:r w:rsidRPr="005501B6">
              <w:rPr>
                <w:rFonts w:ascii="Calibri" w:hAnsi="Calibri" w:cs="Calibri"/>
                <w:sz w:val="24"/>
                <w:szCs w:val="24"/>
              </w:rPr>
              <w:t>for the Governor to sign by June 30</w:t>
            </w:r>
            <w:r w:rsidRPr="005501B6">
              <w:rPr>
                <w:rFonts w:ascii="Calibri" w:hAnsi="Calibri" w:cs="Calibri"/>
                <w:sz w:val="17"/>
                <w:szCs w:val="17"/>
              </w:rPr>
              <w:t>th</w:t>
            </w:r>
          </w:p>
        </w:tc>
        <w:tc>
          <w:tcPr>
            <w:tcW w:w="2358" w:type="dxa"/>
            <w:shd w:val="clear" w:color="auto" w:fill="FFF2CC" w:themeFill="accent4" w:themeFillTint="33"/>
          </w:tcPr>
          <w:p w14:paraId="44A5851B" w14:textId="77777777" w:rsidR="00585C15" w:rsidRDefault="00585C15" w:rsidP="00966091">
            <w:pPr>
              <w:autoSpaceDE w:val="0"/>
              <w:autoSpaceDN w:val="0"/>
              <w:adjustRightInd w:val="0"/>
            </w:pPr>
            <w:r>
              <w:t xml:space="preserve">June 30, </w:t>
            </w:r>
            <w:proofErr w:type="gramStart"/>
            <w:r>
              <w:t>2022</w:t>
            </w:r>
            <w:proofErr w:type="gramEnd"/>
            <w:r>
              <w:t xml:space="preserve"> State budget for fiscal year 2022-23</w:t>
            </w:r>
          </w:p>
        </w:tc>
        <w:tc>
          <w:tcPr>
            <w:tcW w:w="2657" w:type="dxa"/>
            <w:shd w:val="clear" w:color="auto" w:fill="FFF2CC" w:themeFill="accent4" w:themeFillTint="33"/>
          </w:tcPr>
          <w:p w14:paraId="1CF03A66" w14:textId="77777777" w:rsidR="00585C15" w:rsidRDefault="00585C15" w:rsidP="00966091">
            <w:pPr>
              <w:autoSpaceDE w:val="0"/>
              <w:autoSpaceDN w:val="0"/>
              <w:adjustRightInd w:val="0"/>
            </w:pPr>
          </w:p>
        </w:tc>
        <w:tc>
          <w:tcPr>
            <w:tcW w:w="1620" w:type="dxa"/>
            <w:shd w:val="clear" w:color="auto" w:fill="FFF2CC" w:themeFill="accent4" w:themeFillTint="33"/>
          </w:tcPr>
          <w:p w14:paraId="060A0DD6" w14:textId="77777777" w:rsidR="00585C15" w:rsidRDefault="00585C15" w:rsidP="00966091">
            <w:pPr>
              <w:autoSpaceDE w:val="0"/>
              <w:autoSpaceDN w:val="0"/>
              <w:adjustRightInd w:val="0"/>
            </w:pPr>
          </w:p>
        </w:tc>
      </w:tr>
      <w:tr w:rsidR="00585C15" w14:paraId="62493E6B" w14:textId="4AC1808A" w:rsidTr="007D71B5">
        <w:trPr>
          <w:cantSplit/>
        </w:trPr>
        <w:tc>
          <w:tcPr>
            <w:tcW w:w="1288" w:type="dxa"/>
            <w:shd w:val="clear" w:color="auto" w:fill="FFF2CC" w:themeFill="accent4" w:themeFillTint="33"/>
          </w:tcPr>
          <w:p w14:paraId="7462B1BD" w14:textId="46009C4C" w:rsidR="00585C15" w:rsidRDefault="00585C15" w:rsidP="00756843">
            <w:pPr>
              <w:autoSpaceDE w:val="0"/>
              <w:autoSpaceDN w:val="0"/>
              <w:adjustRightInd w:val="0"/>
            </w:pPr>
            <w:bookmarkStart w:id="0" w:name="_Hlk87435892"/>
            <w:r>
              <w:t>JUNE</w:t>
            </w:r>
          </w:p>
        </w:tc>
        <w:tc>
          <w:tcPr>
            <w:tcW w:w="961" w:type="dxa"/>
            <w:shd w:val="clear" w:color="auto" w:fill="FFF2CC" w:themeFill="accent4" w:themeFillTint="33"/>
          </w:tcPr>
          <w:p w14:paraId="0949A6FC" w14:textId="77777777" w:rsidR="00585C15" w:rsidRDefault="00585C15" w:rsidP="00756843">
            <w:pPr>
              <w:autoSpaceDE w:val="0"/>
              <w:autoSpaceDN w:val="0"/>
              <w:adjustRightInd w:val="0"/>
            </w:pPr>
            <w:r>
              <w:t>District</w:t>
            </w:r>
          </w:p>
        </w:tc>
        <w:tc>
          <w:tcPr>
            <w:tcW w:w="1527" w:type="dxa"/>
            <w:shd w:val="clear" w:color="auto" w:fill="FFF2CC" w:themeFill="accent4" w:themeFillTint="33"/>
          </w:tcPr>
          <w:p w14:paraId="6997C6D2" w14:textId="77777777" w:rsidR="00585C15" w:rsidRDefault="00585C15" w:rsidP="00756843">
            <w:pPr>
              <w:autoSpaceDE w:val="0"/>
              <w:autoSpaceDN w:val="0"/>
              <w:adjustRightInd w:val="0"/>
            </w:pPr>
            <w:r>
              <w:t>Following FY</w:t>
            </w:r>
          </w:p>
        </w:tc>
        <w:tc>
          <w:tcPr>
            <w:tcW w:w="4709" w:type="dxa"/>
            <w:shd w:val="clear" w:color="auto" w:fill="FFF2CC" w:themeFill="accent4" w:themeFillTint="33"/>
          </w:tcPr>
          <w:p w14:paraId="7EB345BF" w14:textId="77777777" w:rsidR="00585C15" w:rsidRDefault="00585C15" w:rsidP="00756843">
            <w:pPr>
              <w:autoSpaceDE w:val="0"/>
              <w:autoSpaceDN w:val="0"/>
              <w:adjustRightInd w:val="0"/>
            </w:pPr>
            <w:bookmarkStart w:id="1" w:name="_Hlk87435883"/>
            <w:r w:rsidRPr="00756843">
              <w:t>Tentative Budget</w:t>
            </w:r>
            <w:r>
              <w:t xml:space="preserve"> </w:t>
            </w:r>
            <w:bookmarkEnd w:id="1"/>
            <w:r>
              <w:t>developed and presented to Board of Trustees</w:t>
            </w:r>
          </w:p>
        </w:tc>
        <w:tc>
          <w:tcPr>
            <w:tcW w:w="2358" w:type="dxa"/>
            <w:shd w:val="clear" w:color="auto" w:fill="FFF2CC" w:themeFill="accent4" w:themeFillTint="33"/>
          </w:tcPr>
          <w:p w14:paraId="3E8799F6" w14:textId="77777777" w:rsidR="00585C15" w:rsidRDefault="00585C15" w:rsidP="00756843">
            <w:pPr>
              <w:autoSpaceDE w:val="0"/>
              <w:autoSpaceDN w:val="0"/>
              <w:adjustRightInd w:val="0"/>
            </w:pPr>
            <w:r>
              <w:t>Includes our base continuing budget - ongoing known expenses and revenues</w:t>
            </w:r>
          </w:p>
        </w:tc>
        <w:tc>
          <w:tcPr>
            <w:tcW w:w="2657" w:type="dxa"/>
            <w:shd w:val="clear" w:color="auto" w:fill="FFF2CC" w:themeFill="accent4" w:themeFillTint="33"/>
          </w:tcPr>
          <w:p w14:paraId="732A49A8" w14:textId="77777777" w:rsidR="00585C15" w:rsidRDefault="00585C15" w:rsidP="00756843">
            <w:pPr>
              <w:autoSpaceDE w:val="0"/>
              <w:autoSpaceDN w:val="0"/>
              <w:adjustRightInd w:val="0"/>
            </w:pPr>
            <w:r>
              <w:t>Governor’s May Revise is the basis for dollar amounts.</w:t>
            </w:r>
          </w:p>
          <w:p w14:paraId="3858A353" w14:textId="77777777" w:rsidR="00585C15" w:rsidRDefault="00585C15" w:rsidP="00756843">
            <w:pPr>
              <w:autoSpaceDE w:val="0"/>
              <w:autoSpaceDN w:val="0"/>
              <w:adjustRightInd w:val="0"/>
            </w:pPr>
          </w:p>
          <w:p w14:paraId="3B7E7335" w14:textId="77777777" w:rsidR="00585C15" w:rsidRDefault="00585C15" w:rsidP="00756843">
            <w:pPr>
              <w:autoSpaceDE w:val="0"/>
              <w:autoSpaceDN w:val="0"/>
              <w:adjustRightInd w:val="0"/>
            </w:pPr>
            <w:r>
              <w:t xml:space="preserve">The BOT is required by law to adopt a tentative budget for the upcoming fiscal year no </w:t>
            </w:r>
          </w:p>
          <w:p w14:paraId="7D1679BD" w14:textId="77777777" w:rsidR="00585C15" w:rsidRDefault="00585C15" w:rsidP="00756843">
            <w:pPr>
              <w:autoSpaceDE w:val="0"/>
              <w:autoSpaceDN w:val="0"/>
              <w:adjustRightInd w:val="0"/>
            </w:pPr>
            <w:r>
              <w:t>later than July 1st</w:t>
            </w:r>
          </w:p>
        </w:tc>
        <w:tc>
          <w:tcPr>
            <w:tcW w:w="1620" w:type="dxa"/>
            <w:shd w:val="clear" w:color="auto" w:fill="FFF2CC" w:themeFill="accent4" w:themeFillTint="33"/>
          </w:tcPr>
          <w:p w14:paraId="7C6D1801" w14:textId="4DD87DD4" w:rsidR="00585C15" w:rsidRDefault="002F44FA" w:rsidP="00756843">
            <w:pPr>
              <w:autoSpaceDE w:val="0"/>
              <w:autoSpaceDN w:val="0"/>
              <w:adjustRightInd w:val="0"/>
            </w:pPr>
            <w:r>
              <w:t>Includes updates provided to DBC at May meeting</w:t>
            </w:r>
          </w:p>
        </w:tc>
      </w:tr>
      <w:bookmarkEnd w:id="0"/>
      <w:tr w:rsidR="00585C15" w14:paraId="63FDE960" w14:textId="003ED175" w:rsidTr="007D71B5">
        <w:trPr>
          <w:cantSplit/>
        </w:trPr>
        <w:tc>
          <w:tcPr>
            <w:tcW w:w="1288" w:type="dxa"/>
            <w:shd w:val="clear" w:color="auto" w:fill="FFF2CC" w:themeFill="accent4" w:themeFillTint="33"/>
          </w:tcPr>
          <w:p w14:paraId="2EEC8B54" w14:textId="77777777" w:rsidR="00585C15" w:rsidRDefault="00585C15" w:rsidP="00756843">
            <w:pPr>
              <w:autoSpaceDE w:val="0"/>
              <w:autoSpaceDN w:val="0"/>
              <w:adjustRightInd w:val="0"/>
            </w:pPr>
            <w:r>
              <w:t>JULY</w:t>
            </w:r>
          </w:p>
        </w:tc>
        <w:tc>
          <w:tcPr>
            <w:tcW w:w="961" w:type="dxa"/>
            <w:shd w:val="clear" w:color="auto" w:fill="FFF2CC" w:themeFill="accent4" w:themeFillTint="33"/>
          </w:tcPr>
          <w:p w14:paraId="43A9E40A" w14:textId="77777777" w:rsidR="00585C15" w:rsidRDefault="00585C15" w:rsidP="00756843">
            <w:pPr>
              <w:autoSpaceDE w:val="0"/>
              <w:autoSpaceDN w:val="0"/>
              <w:adjustRightInd w:val="0"/>
            </w:pPr>
            <w:r>
              <w:t>Colleges</w:t>
            </w:r>
          </w:p>
        </w:tc>
        <w:tc>
          <w:tcPr>
            <w:tcW w:w="1527" w:type="dxa"/>
            <w:shd w:val="clear" w:color="auto" w:fill="FFF2CC" w:themeFill="accent4" w:themeFillTint="33"/>
          </w:tcPr>
          <w:p w14:paraId="679E3B42" w14:textId="77777777" w:rsidR="00585C15" w:rsidRDefault="00585C15" w:rsidP="00756843">
            <w:pPr>
              <w:autoSpaceDE w:val="0"/>
              <w:autoSpaceDN w:val="0"/>
              <w:adjustRightInd w:val="0"/>
            </w:pPr>
            <w:r>
              <w:t>Following FY</w:t>
            </w:r>
          </w:p>
        </w:tc>
        <w:tc>
          <w:tcPr>
            <w:tcW w:w="4709" w:type="dxa"/>
            <w:shd w:val="clear" w:color="auto" w:fill="FFF2CC" w:themeFill="accent4" w:themeFillTint="33"/>
          </w:tcPr>
          <w:p w14:paraId="3C5434D5" w14:textId="77777777" w:rsidR="00585C15" w:rsidRDefault="00585C15" w:rsidP="00756843">
            <w:pPr>
              <w:autoSpaceDE w:val="0"/>
              <w:autoSpaceDN w:val="0"/>
              <w:adjustRightInd w:val="0"/>
            </w:pPr>
            <w:r>
              <w:t>Allocation of college categorical funds (fund 12)</w:t>
            </w:r>
          </w:p>
        </w:tc>
        <w:tc>
          <w:tcPr>
            <w:tcW w:w="2358" w:type="dxa"/>
            <w:shd w:val="clear" w:color="auto" w:fill="FFF2CC" w:themeFill="accent4" w:themeFillTint="33"/>
          </w:tcPr>
          <w:p w14:paraId="057BB1C3" w14:textId="1E901304" w:rsidR="00585C15" w:rsidRDefault="00AB3718" w:rsidP="00756843">
            <w:pPr>
              <w:autoSpaceDE w:val="0"/>
              <w:autoSpaceDN w:val="0"/>
              <w:adjustRightInd w:val="0"/>
            </w:pPr>
            <w:r>
              <w:t xml:space="preserve">Most grants and categorical funding </w:t>
            </w:r>
            <w:r w:rsidR="00C168DA">
              <w:t>are</w:t>
            </w:r>
            <w:r>
              <w:t xml:space="preserve"> allocated at the college level</w:t>
            </w:r>
          </w:p>
        </w:tc>
        <w:tc>
          <w:tcPr>
            <w:tcW w:w="2657" w:type="dxa"/>
            <w:shd w:val="clear" w:color="auto" w:fill="FFF2CC" w:themeFill="accent4" w:themeFillTint="33"/>
          </w:tcPr>
          <w:p w14:paraId="755F4C45" w14:textId="18363295" w:rsidR="00585C15" w:rsidRDefault="00585C15" w:rsidP="00756843">
            <w:pPr>
              <w:autoSpaceDE w:val="0"/>
              <w:autoSpaceDN w:val="0"/>
              <w:adjustRightInd w:val="0"/>
            </w:pPr>
          </w:p>
        </w:tc>
        <w:tc>
          <w:tcPr>
            <w:tcW w:w="1620" w:type="dxa"/>
            <w:shd w:val="clear" w:color="auto" w:fill="FFF2CC" w:themeFill="accent4" w:themeFillTint="33"/>
          </w:tcPr>
          <w:p w14:paraId="04F628FC" w14:textId="77777777" w:rsidR="00585C15" w:rsidRDefault="00585C15" w:rsidP="00756843">
            <w:pPr>
              <w:autoSpaceDE w:val="0"/>
              <w:autoSpaceDN w:val="0"/>
              <w:adjustRightInd w:val="0"/>
            </w:pPr>
          </w:p>
        </w:tc>
      </w:tr>
      <w:tr w:rsidR="00585C15" w14:paraId="62570385" w14:textId="728EF6DB" w:rsidTr="007D71B5">
        <w:trPr>
          <w:cantSplit/>
        </w:trPr>
        <w:tc>
          <w:tcPr>
            <w:tcW w:w="1288" w:type="dxa"/>
            <w:shd w:val="clear" w:color="auto" w:fill="F7CAAC" w:themeFill="accent2" w:themeFillTint="66"/>
          </w:tcPr>
          <w:p w14:paraId="1EEF00E3" w14:textId="77777777" w:rsidR="00585C15" w:rsidRDefault="00585C15" w:rsidP="00756843">
            <w:pPr>
              <w:autoSpaceDE w:val="0"/>
              <w:autoSpaceDN w:val="0"/>
              <w:adjustRightInd w:val="0"/>
            </w:pPr>
            <w:r>
              <w:t>SEPTEMBER</w:t>
            </w:r>
          </w:p>
        </w:tc>
        <w:tc>
          <w:tcPr>
            <w:tcW w:w="961" w:type="dxa"/>
            <w:shd w:val="clear" w:color="auto" w:fill="F7CAAC" w:themeFill="accent2" w:themeFillTint="66"/>
          </w:tcPr>
          <w:p w14:paraId="5201C55A" w14:textId="77777777" w:rsidR="00585C15" w:rsidRDefault="00585C15" w:rsidP="00756843">
            <w:pPr>
              <w:autoSpaceDE w:val="0"/>
              <w:autoSpaceDN w:val="0"/>
              <w:adjustRightInd w:val="0"/>
            </w:pPr>
            <w:r>
              <w:t>District</w:t>
            </w:r>
          </w:p>
        </w:tc>
        <w:tc>
          <w:tcPr>
            <w:tcW w:w="1527" w:type="dxa"/>
            <w:shd w:val="clear" w:color="auto" w:fill="F7CAAC" w:themeFill="accent2" w:themeFillTint="66"/>
          </w:tcPr>
          <w:p w14:paraId="28FCF313" w14:textId="77777777" w:rsidR="00585C15" w:rsidRDefault="00585C15" w:rsidP="00756843">
            <w:pPr>
              <w:autoSpaceDE w:val="0"/>
              <w:autoSpaceDN w:val="0"/>
              <w:adjustRightInd w:val="0"/>
            </w:pPr>
            <w:r>
              <w:t>Current FY</w:t>
            </w:r>
          </w:p>
        </w:tc>
        <w:tc>
          <w:tcPr>
            <w:tcW w:w="4709" w:type="dxa"/>
            <w:shd w:val="clear" w:color="auto" w:fill="F7CAAC" w:themeFill="accent2" w:themeFillTint="66"/>
          </w:tcPr>
          <w:p w14:paraId="0B05F087" w14:textId="35248E1B" w:rsidR="00585C15" w:rsidRDefault="00585C15" w:rsidP="00756843">
            <w:pPr>
              <w:autoSpaceDE w:val="0"/>
              <w:autoSpaceDN w:val="0"/>
              <w:adjustRightInd w:val="0"/>
            </w:pPr>
            <w:bookmarkStart w:id="2" w:name="_Hlk87435909"/>
            <w:r>
              <w:t xml:space="preserve">Adopted Budget </w:t>
            </w:r>
            <w:bookmarkEnd w:id="2"/>
            <w:r>
              <w:t>developed and presented to Board of Trustees (BOT)</w:t>
            </w:r>
          </w:p>
        </w:tc>
        <w:tc>
          <w:tcPr>
            <w:tcW w:w="2358" w:type="dxa"/>
            <w:shd w:val="clear" w:color="auto" w:fill="F7CAAC" w:themeFill="accent2" w:themeFillTint="66"/>
          </w:tcPr>
          <w:p w14:paraId="7DE92F99" w14:textId="77777777" w:rsidR="00585C15" w:rsidRDefault="00585C15" w:rsidP="00756843">
            <w:pPr>
              <w:autoSpaceDE w:val="0"/>
              <w:autoSpaceDN w:val="0"/>
              <w:adjustRightInd w:val="0"/>
            </w:pPr>
            <w:bookmarkStart w:id="3" w:name="_Hlk87435921"/>
            <w:r>
              <w:t>Includes ongoing and new expenses and revenues</w:t>
            </w:r>
            <w:bookmarkEnd w:id="3"/>
            <w:r>
              <w:t xml:space="preserve"> as well as carryover amounts</w:t>
            </w:r>
          </w:p>
        </w:tc>
        <w:tc>
          <w:tcPr>
            <w:tcW w:w="2657" w:type="dxa"/>
            <w:shd w:val="clear" w:color="auto" w:fill="F7CAAC" w:themeFill="accent2" w:themeFillTint="66"/>
          </w:tcPr>
          <w:p w14:paraId="75D40880" w14:textId="77777777" w:rsidR="00585C15" w:rsidRDefault="00585C15" w:rsidP="00756843">
            <w:pPr>
              <w:autoSpaceDE w:val="0"/>
              <w:autoSpaceDN w:val="0"/>
              <w:adjustRightInd w:val="0"/>
            </w:pPr>
            <w:r>
              <w:t>Must be approved by the BOT before 9/15</w:t>
            </w:r>
          </w:p>
        </w:tc>
        <w:tc>
          <w:tcPr>
            <w:tcW w:w="1620" w:type="dxa"/>
            <w:shd w:val="clear" w:color="auto" w:fill="F7CAAC" w:themeFill="accent2" w:themeFillTint="66"/>
          </w:tcPr>
          <w:p w14:paraId="71A11751" w14:textId="64EBCE9F" w:rsidR="00585C15" w:rsidRDefault="00AB3718" w:rsidP="00756843">
            <w:pPr>
              <w:autoSpaceDE w:val="0"/>
              <w:autoSpaceDN w:val="0"/>
              <w:adjustRightInd w:val="0"/>
            </w:pPr>
            <w:r>
              <w:t>Adopted Budget presented to DBC</w:t>
            </w:r>
          </w:p>
        </w:tc>
      </w:tr>
      <w:tr w:rsidR="00585C15" w14:paraId="096B8F5C" w14:textId="4C087DBB" w:rsidTr="007D71B5">
        <w:trPr>
          <w:cantSplit/>
        </w:trPr>
        <w:tc>
          <w:tcPr>
            <w:tcW w:w="1288" w:type="dxa"/>
            <w:shd w:val="clear" w:color="auto" w:fill="F7CAAC" w:themeFill="accent2" w:themeFillTint="66"/>
          </w:tcPr>
          <w:p w14:paraId="3F2EEA3F" w14:textId="77777777" w:rsidR="00585C15" w:rsidRDefault="00585C15" w:rsidP="00756843">
            <w:pPr>
              <w:autoSpaceDE w:val="0"/>
              <w:autoSpaceDN w:val="0"/>
              <w:adjustRightInd w:val="0"/>
            </w:pPr>
            <w:r>
              <w:t>DECEMBER</w:t>
            </w:r>
          </w:p>
        </w:tc>
        <w:tc>
          <w:tcPr>
            <w:tcW w:w="961" w:type="dxa"/>
            <w:shd w:val="clear" w:color="auto" w:fill="F7CAAC" w:themeFill="accent2" w:themeFillTint="66"/>
          </w:tcPr>
          <w:p w14:paraId="05DD4011" w14:textId="77777777" w:rsidR="00585C15" w:rsidRDefault="00585C15" w:rsidP="00756843">
            <w:pPr>
              <w:autoSpaceDE w:val="0"/>
              <w:autoSpaceDN w:val="0"/>
              <w:adjustRightInd w:val="0"/>
            </w:pPr>
            <w:r>
              <w:t>District</w:t>
            </w:r>
          </w:p>
        </w:tc>
        <w:tc>
          <w:tcPr>
            <w:tcW w:w="1527" w:type="dxa"/>
            <w:shd w:val="clear" w:color="auto" w:fill="F7CAAC" w:themeFill="accent2" w:themeFillTint="66"/>
          </w:tcPr>
          <w:p w14:paraId="13EF831A" w14:textId="77777777" w:rsidR="00585C15" w:rsidRDefault="00585C15" w:rsidP="00756843">
            <w:pPr>
              <w:autoSpaceDE w:val="0"/>
              <w:autoSpaceDN w:val="0"/>
              <w:adjustRightInd w:val="0"/>
            </w:pPr>
            <w:r>
              <w:t>Current FY</w:t>
            </w:r>
          </w:p>
        </w:tc>
        <w:tc>
          <w:tcPr>
            <w:tcW w:w="4709" w:type="dxa"/>
            <w:shd w:val="clear" w:color="auto" w:fill="F7CAAC" w:themeFill="accent2" w:themeFillTint="66"/>
          </w:tcPr>
          <w:p w14:paraId="66853564" w14:textId="4FA67D5B" w:rsidR="00585C15" w:rsidRDefault="00585C15" w:rsidP="00756843">
            <w:pPr>
              <w:autoSpaceDE w:val="0"/>
              <w:autoSpaceDN w:val="0"/>
              <w:adjustRightInd w:val="0"/>
            </w:pPr>
            <w:r>
              <w:t>Program Development Funds (PDF) allocated</w:t>
            </w:r>
            <w:r w:rsidR="007D71B5">
              <w:t xml:space="preserve"> based on existing commitments, committee and Executive Staff requests</w:t>
            </w:r>
            <w:r w:rsidR="00B0556E">
              <w:t xml:space="preserve">, facility and LRPD needs. Allocations are </w:t>
            </w:r>
            <w:r>
              <w:t>presented to VPAs, District Budget Committee &amp; Board of Trustees</w:t>
            </w:r>
          </w:p>
        </w:tc>
        <w:tc>
          <w:tcPr>
            <w:tcW w:w="2358" w:type="dxa"/>
            <w:shd w:val="clear" w:color="auto" w:fill="F7CAAC" w:themeFill="accent2" w:themeFillTint="66"/>
          </w:tcPr>
          <w:p w14:paraId="1F5E18F8" w14:textId="77777777" w:rsidR="00585C15" w:rsidRDefault="00585C15" w:rsidP="00756843">
            <w:pPr>
              <w:autoSpaceDE w:val="0"/>
              <w:autoSpaceDN w:val="0"/>
              <w:adjustRightInd w:val="0"/>
            </w:pPr>
            <w:r>
              <w:t>20% of revenues from “bucket” concept allocated to college and districtwide efforts</w:t>
            </w:r>
          </w:p>
        </w:tc>
        <w:tc>
          <w:tcPr>
            <w:tcW w:w="2657" w:type="dxa"/>
            <w:shd w:val="clear" w:color="auto" w:fill="F7CAAC" w:themeFill="accent2" w:themeFillTint="66"/>
          </w:tcPr>
          <w:p w14:paraId="647E6A02" w14:textId="18BD3E8C" w:rsidR="00585C15" w:rsidRDefault="00585C15" w:rsidP="00756843">
            <w:pPr>
              <w:autoSpaceDE w:val="0"/>
              <w:autoSpaceDN w:val="0"/>
              <w:adjustRightInd w:val="0"/>
            </w:pPr>
            <w:r>
              <w:t>This 20% of</w:t>
            </w:r>
            <w:r w:rsidR="001C4D11">
              <w:t xml:space="preserve"> n</w:t>
            </w:r>
            <w:r>
              <w:t>ew revenues are used to fund increases in operational costs,</w:t>
            </w:r>
          </w:p>
          <w:p w14:paraId="396E9688" w14:textId="5BD6154B" w:rsidR="00585C15" w:rsidRDefault="00585C15" w:rsidP="00756843">
            <w:pPr>
              <w:autoSpaceDE w:val="0"/>
              <w:autoSpaceDN w:val="0"/>
              <w:adjustRightInd w:val="0"/>
            </w:pPr>
            <w:r>
              <w:t>including utilities, some new classified positions, new</w:t>
            </w:r>
            <w:r w:rsidR="001C4D11">
              <w:t xml:space="preserve"> </w:t>
            </w:r>
            <w:r>
              <w:t>management positions</w:t>
            </w:r>
            <w:r w:rsidR="001C4D11">
              <w:t xml:space="preserve"> charged to the unrestricted General Fund</w:t>
            </w:r>
            <w:r>
              <w:t>, increased costs for supplies and materials,</w:t>
            </w:r>
          </w:p>
          <w:p w14:paraId="6291AB75" w14:textId="3819655C" w:rsidR="00585C15" w:rsidRDefault="00585C15" w:rsidP="00756843">
            <w:pPr>
              <w:autoSpaceDE w:val="0"/>
              <w:autoSpaceDN w:val="0"/>
              <w:adjustRightInd w:val="0"/>
            </w:pPr>
            <w:r>
              <w:t>as well as program improvement costs</w:t>
            </w:r>
          </w:p>
        </w:tc>
        <w:tc>
          <w:tcPr>
            <w:tcW w:w="1620" w:type="dxa"/>
            <w:shd w:val="clear" w:color="auto" w:fill="F7CAAC" w:themeFill="accent2" w:themeFillTint="66"/>
          </w:tcPr>
          <w:p w14:paraId="7CCC39C9" w14:textId="45628C4B" w:rsidR="00585C15" w:rsidRDefault="00AB3718" w:rsidP="00756843">
            <w:pPr>
              <w:autoSpaceDE w:val="0"/>
              <w:autoSpaceDN w:val="0"/>
              <w:adjustRightInd w:val="0"/>
            </w:pPr>
            <w:r>
              <w:t>PDF presented to DBC</w:t>
            </w:r>
          </w:p>
        </w:tc>
      </w:tr>
    </w:tbl>
    <w:p w14:paraId="7E676674" w14:textId="77777777" w:rsidR="005501B6" w:rsidRDefault="005501B6" w:rsidP="005501B6">
      <w:pPr>
        <w:autoSpaceDE w:val="0"/>
        <w:autoSpaceDN w:val="0"/>
        <w:adjustRightInd w:val="0"/>
        <w:spacing w:after="0" w:line="240" w:lineRule="auto"/>
      </w:pPr>
    </w:p>
    <w:p w14:paraId="5FD26C85" w14:textId="74322760" w:rsidR="00A05D4A" w:rsidRDefault="00861222" w:rsidP="005501B6">
      <w:pPr>
        <w:autoSpaceDE w:val="0"/>
        <w:autoSpaceDN w:val="0"/>
        <w:adjustRightInd w:val="0"/>
        <w:spacing w:after="0" w:line="240" w:lineRule="auto"/>
      </w:pPr>
      <w:r>
        <w:t>Not shown above are budget revision</w:t>
      </w:r>
      <w:r w:rsidR="005278A0">
        <w:t>s</w:t>
      </w:r>
      <w:r>
        <w:t xml:space="preserve"> to the adopted budget, usually taken to the Board in </w:t>
      </w:r>
      <w:r w:rsidR="00385C8F">
        <w:t>January or February and June.</w:t>
      </w:r>
      <w:r w:rsidR="005278A0">
        <w:t xml:space="preserve"> These revisions are needed when the initial budget has been based on estimates and the actual expense or revenue is established through State allocations, or other sources.</w:t>
      </w:r>
    </w:p>
    <w:p w14:paraId="269A183D" w14:textId="77777777" w:rsidR="00385C8F" w:rsidRDefault="00385C8F" w:rsidP="005501B6">
      <w:pPr>
        <w:autoSpaceDE w:val="0"/>
        <w:autoSpaceDN w:val="0"/>
        <w:adjustRightInd w:val="0"/>
        <w:spacing w:after="0" w:line="240" w:lineRule="auto"/>
      </w:pPr>
    </w:p>
    <w:p w14:paraId="00A0A18C" w14:textId="77777777" w:rsidR="00A05D4A" w:rsidRPr="00385C8F" w:rsidRDefault="00385C8F" w:rsidP="005501B6">
      <w:pPr>
        <w:autoSpaceDE w:val="0"/>
        <w:autoSpaceDN w:val="0"/>
        <w:adjustRightInd w:val="0"/>
        <w:spacing w:after="0" w:line="240" w:lineRule="auto"/>
        <w:rPr>
          <w:b/>
        </w:rPr>
      </w:pPr>
      <w:r w:rsidRPr="00385C8F">
        <w:rPr>
          <w:b/>
        </w:rPr>
        <w:t>Acronyms</w:t>
      </w:r>
    </w:p>
    <w:p w14:paraId="2D6232FB" w14:textId="77777777" w:rsidR="00A05D4A" w:rsidRDefault="00A05D4A" w:rsidP="005501B6">
      <w:pPr>
        <w:autoSpaceDE w:val="0"/>
        <w:autoSpaceDN w:val="0"/>
        <w:adjustRightInd w:val="0"/>
        <w:spacing w:after="0" w:line="240" w:lineRule="auto"/>
      </w:pPr>
    </w:p>
    <w:p w14:paraId="2B4A86BA" w14:textId="77777777" w:rsidR="00A05D4A" w:rsidRPr="00E47A70" w:rsidRDefault="00A05D4A" w:rsidP="005501B6">
      <w:pPr>
        <w:autoSpaceDE w:val="0"/>
        <w:autoSpaceDN w:val="0"/>
        <w:adjustRightInd w:val="0"/>
        <w:spacing w:after="0" w:line="240" w:lineRule="auto"/>
        <w:rPr>
          <w:b/>
          <w:sz w:val="24"/>
        </w:rPr>
      </w:pPr>
      <w:r w:rsidRPr="00E47A70">
        <w:rPr>
          <w:b/>
          <w:sz w:val="24"/>
        </w:rPr>
        <w:t>CDF – College Discretionary Funds</w:t>
      </w:r>
    </w:p>
    <w:p w14:paraId="651F4DBF" w14:textId="77777777" w:rsidR="00E47A70" w:rsidRPr="00AC527F" w:rsidRDefault="00E47A70" w:rsidP="009A5F3A">
      <w:pPr>
        <w:autoSpaceDE w:val="0"/>
        <w:autoSpaceDN w:val="0"/>
        <w:adjustRightInd w:val="0"/>
        <w:spacing w:before="240" w:after="0" w:line="240" w:lineRule="auto"/>
        <w:jc w:val="both"/>
        <w:rPr>
          <w:rFonts w:cstheme="minorHAnsi"/>
        </w:rPr>
      </w:pPr>
      <w:r w:rsidRPr="00AC527F">
        <w:rPr>
          <w:rFonts w:cstheme="minorHAnsi"/>
        </w:rPr>
        <w:t>College Discretionary Funds are allocated in support of operational costs at the colleges for instructional, student services and administrative activities. A formula consisting of a base allocation and four factors tied to operational needs of the colleges are used in the allocation. The four allocation factors are Average WSCH</w:t>
      </w:r>
      <w:r w:rsidR="009A5F3A" w:rsidRPr="00AC527F">
        <w:rPr>
          <w:rFonts w:cstheme="minorHAnsi"/>
        </w:rPr>
        <w:t xml:space="preserve"> (Spring, summer, fall terms)</w:t>
      </w:r>
      <w:r w:rsidRPr="00AC527F">
        <w:rPr>
          <w:rFonts w:cstheme="minorHAnsi"/>
        </w:rPr>
        <w:t xml:space="preserve">, Maintenance &amp; Supplies (Total Square Footage (TSF)), Facility </w:t>
      </w:r>
      <w:r w:rsidR="009A5F3A" w:rsidRPr="00AC527F">
        <w:rPr>
          <w:rFonts w:cstheme="minorHAnsi"/>
        </w:rPr>
        <w:t>Utilization</w:t>
      </w:r>
      <w:r w:rsidRPr="00AC527F">
        <w:rPr>
          <w:rFonts w:cstheme="minorHAnsi"/>
        </w:rPr>
        <w:t xml:space="preserve"> </w:t>
      </w:r>
      <w:r w:rsidR="009A5F3A" w:rsidRPr="00AC527F">
        <w:rPr>
          <w:rFonts w:cstheme="minorHAnsi"/>
        </w:rPr>
        <w:t xml:space="preserve">(Utilized Assigned Square Feet) </w:t>
      </w:r>
      <w:r w:rsidRPr="00AC527F">
        <w:rPr>
          <w:rFonts w:cstheme="minorHAnsi"/>
        </w:rPr>
        <w:t xml:space="preserve">and Staff </w:t>
      </w:r>
      <w:r w:rsidR="009A5F3A" w:rsidRPr="00AC527F">
        <w:rPr>
          <w:rFonts w:cstheme="minorHAnsi"/>
        </w:rPr>
        <w:t>Development (Authorized FTE)</w:t>
      </w:r>
      <w:r w:rsidR="00BC5F4F" w:rsidRPr="00AC527F">
        <w:rPr>
          <w:rFonts w:cstheme="minorHAnsi"/>
        </w:rPr>
        <w:t xml:space="preserve">. </w:t>
      </w:r>
    </w:p>
    <w:p w14:paraId="6B082EF7" w14:textId="77777777" w:rsidR="0041075C" w:rsidRDefault="00AC527F" w:rsidP="009A5F3A">
      <w:pPr>
        <w:autoSpaceDE w:val="0"/>
        <w:autoSpaceDN w:val="0"/>
        <w:adjustRightInd w:val="0"/>
        <w:spacing w:before="240" w:after="0" w:line="240" w:lineRule="auto"/>
        <w:jc w:val="both"/>
        <w:rPr>
          <w:rFonts w:cstheme="minorHAnsi"/>
        </w:rPr>
      </w:pPr>
      <w:r w:rsidRPr="00AC527F">
        <w:rPr>
          <w:rFonts w:cstheme="minorHAnsi"/>
        </w:rPr>
        <w:t>The colleges allocate these funds using their internal processes.</w:t>
      </w:r>
      <w:r w:rsidR="004559CA">
        <w:rPr>
          <w:rFonts w:cstheme="minorHAnsi"/>
        </w:rPr>
        <w:t xml:space="preserve"> Allocation to the colleges for fiscal year </w:t>
      </w:r>
      <w:r w:rsidR="0041075C">
        <w:rPr>
          <w:rFonts w:cstheme="minorHAnsi"/>
        </w:rPr>
        <w:t>2021-22 was as follows:</w:t>
      </w:r>
    </w:p>
    <w:p w14:paraId="7CF6751B" w14:textId="76D86EA4" w:rsidR="00AC527F" w:rsidRPr="00AC527F" w:rsidRDefault="004559CA" w:rsidP="009A5F3A">
      <w:pPr>
        <w:autoSpaceDE w:val="0"/>
        <w:autoSpaceDN w:val="0"/>
        <w:adjustRightInd w:val="0"/>
        <w:spacing w:before="240" w:after="0" w:line="240" w:lineRule="auto"/>
        <w:jc w:val="both"/>
        <w:rPr>
          <w:rFonts w:cstheme="minorHAnsi"/>
        </w:rPr>
      </w:pPr>
      <w:r>
        <w:rPr>
          <w:rFonts w:cstheme="minorHAnsi"/>
        </w:rPr>
        <w:t xml:space="preserve"> </w:t>
      </w:r>
      <w:r w:rsidR="00003BB3">
        <w:rPr>
          <w:noProof/>
        </w:rPr>
        <w:drawing>
          <wp:inline distT="0" distB="0" distL="0" distR="0" wp14:anchorId="68198150" wp14:editId="3582BE18">
            <wp:extent cx="6981825" cy="1638300"/>
            <wp:effectExtent l="0" t="0" r="952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6981825" cy="1638300"/>
                    </a:xfrm>
                    <a:prstGeom prst="rect">
                      <a:avLst/>
                    </a:prstGeom>
                  </pic:spPr>
                </pic:pic>
              </a:graphicData>
            </a:graphic>
          </wp:inline>
        </w:drawing>
      </w:r>
    </w:p>
    <w:p w14:paraId="56848B6B" w14:textId="77777777" w:rsidR="00E47A70" w:rsidRDefault="00E47A70" w:rsidP="005501B6">
      <w:pPr>
        <w:autoSpaceDE w:val="0"/>
        <w:autoSpaceDN w:val="0"/>
        <w:adjustRightInd w:val="0"/>
        <w:spacing w:after="0" w:line="240" w:lineRule="auto"/>
      </w:pPr>
    </w:p>
    <w:p w14:paraId="35E56156" w14:textId="77777777" w:rsidR="00A05D4A" w:rsidRDefault="00A05D4A" w:rsidP="005501B6">
      <w:pPr>
        <w:autoSpaceDE w:val="0"/>
        <w:autoSpaceDN w:val="0"/>
        <w:adjustRightInd w:val="0"/>
        <w:spacing w:after="0" w:line="240" w:lineRule="auto"/>
        <w:rPr>
          <w:b/>
          <w:sz w:val="24"/>
        </w:rPr>
      </w:pPr>
      <w:r w:rsidRPr="00BC5F4F">
        <w:rPr>
          <w:b/>
          <w:sz w:val="24"/>
        </w:rPr>
        <w:t>SIEF – State Instructional Equipment Funds</w:t>
      </w:r>
    </w:p>
    <w:p w14:paraId="3BD3F570" w14:textId="77777777" w:rsidR="007A2476" w:rsidRDefault="007A2476" w:rsidP="005501B6">
      <w:pPr>
        <w:autoSpaceDE w:val="0"/>
        <w:autoSpaceDN w:val="0"/>
        <w:adjustRightInd w:val="0"/>
        <w:spacing w:after="0" w:line="240" w:lineRule="auto"/>
        <w:rPr>
          <w:b/>
          <w:sz w:val="24"/>
        </w:rPr>
      </w:pPr>
    </w:p>
    <w:p w14:paraId="4D7B9152" w14:textId="77777777" w:rsidR="007A2476" w:rsidRDefault="007A2476" w:rsidP="007A2476">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Instructional Equipment</w:t>
      </w:r>
      <w:r w:rsidR="00874A94">
        <w:rPr>
          <w:rFonts w:ascii="Calibri" w:hAnsi="Calibri" w:cs="Calibri"/>
          <w:sz w:val="24"/>
          <w:szCs w:val="24"/>
        </w:rPr>
        <w:t xml:space="preserve"> </w:t>
      </w:r>
      <w:r>
        <w:rPr>
          <w:rFonts w:ascii="Calibri" w:hAnsi="Calibri" w:cs="Calibri"/>
          <w:sz w:val="24"/>
          <w:szCs w:val="24"/>
        </w:rPr>
        <w:t>and Library Materials (SIEF&amp;LM)</w:t>
      </w:r>
      <w:r w:rsidR="00874A94">
        <w:rPr>
          <w:rFonts w:ascii="Calibri" w:hAnsi="Calibri" w:cs="Calibri"/>
          <w:sz w:val="24"/>
          <w:szCs w:val="24"/>
        </w:rPr>
        <w:t xml:space="preserve"> – amounts allocated </w:t>
      </w:r>
      <w:r w:rsidR="00AE0317">
        <w:rPr>
          <w:rFonts w:ascii="Calibri" w:hAnsi="Calibri" w:cs="Calibri"/>
          <w:sz w:val="24"/>
          <w:szCs w:val="24"/>
        </w:rPr>
        <w:t xml:space="preserve">as Scheduled Maintenance/Scheduled Repairs (SMSR) and SIEF </w:t>
      </w:r>
      <w:r w:rsidR="00874A94">
        <w:rPr>
          <w:rFonts w:ascii="Calibri" w:hAnsi="Calibri" w:cs="Calibri"/>
          <w:sz w:val="24"/>
          <w:szCs w:val="24"/>
        </w:rPr>
        <w:t xml:space="preserve">by the </w:t>
      </w:r>
      <w:r w:rsidR="00A331EE">
        <w:rPr>
          <w:rFonts w:ascii="Calibri" w:hAnsi="Calibri" w:cs="Calibri"/>
          <w:sz w:val="24"/>
          <w:szCs w:val="24"/>
        </w:rPr>
        <w:t>Governor</w:t>
      </w:r>
      <w:r w:rsidR="00874A94">
        <w:rPr>
          <w:rFonts w:ascii="Calibri" w:hAnsi="Calibri" w:cs="Calibri"/>
          <w:sz w:val="24"/>
          <w:szCs w:val="24"/>
        </w:rPr>
        <w:t xml:space="preserve"> in the State budget. </w:t>
      </w:r>
      <w:r w:rsidR="00AE0317">
        <w:rPr>
          <w:rFonts w:ascii="Calibri" w:hAnsi="Calibri" w:cs="Calibri"/>
          <w:sz w:val="24"/>
          <w:szCs w:val="24"/>
        </w:rPr>
        <w:t xml:space="preserve">The District Budget Committee reviews the allocation split of these funds. </w:t>
      </w:r>
    </w:p>
    <w:p w14:paraId="1882C325" w14:textId="77777777" w:rsidR="00AC527F" w:rsidRDefault="00AC527F" w:rsidP="007A2476">
      <w:pPr>
        <w:autoSpaceDE w:val="0"/>
        <w:autoSpaceDN w:val="0"/>
        <w:adjustRightInd w:val="0"/>
        <w:spacing w:after="0" w:line="240" w:lineRule="auto"/>
        <w:rPr>
          <w:b/>
          <w:sz w:val="24"/>
        </w:rPr>
      </w:pPr>
    </w:p>
    <w:p w14:paraId="6B851970" w14:textId="64AFE9FF" w:rsidR="00AC527F" w:rsidRDefault="00AC527F" w:rsidP="007A2476">
      <w:pPr>
        <w:autoSpaceDE w:val="0"/>
        <w:autoSpaceDN w:val="0"/>
        <w:adjustRightInd w:val="0"/>
        <w:spacing w:after="0" w:line="240" w:lineRule="auto"/>
        <w:rPr>
          <w:rFonts w:cstheme="minorHAnsi"/>
        </w:rPr>
      </w:pPr>
      <w:r w:rsidRPr="00AC527F">
        <w:rPr>
          <w:sz w:val="24"/>
        </w:rPr>
        <w:t>SIEF</w:t>
      </w:r>
      <w:r>
        <w:rPr>
          <w:sz w:val="24"/>
        </w:rPr>
        <w:t xml:space="preserve"> funds are allocated to the Colleges and they in turn use their internal processes to allocate to the college. </w:t>
      </w:r>
      <w:r w:rsidR="004559CA">
        <w:rPr>
          <w:rFonts w:cstheme="minorHAnsi"/>
        </w:rPr>
        <w:t>Allocation to the colleges for fiscal year 202</w:t>
      </w:r>
      <w:r w:rsidR="006D626E">
        <w:rPr>
          <w:rFonts w:cstheme="minorHAnsi"/>
        </w:rPr>
        <w:t>1</w:t>
      </w:r>
      <w:r w:rsidR="004559CA">
        <w:rPr>
          <w:rFonts w:cstheme="minorHAnsi"/>
        </w:rPr>
        <w:t>-2</w:t>
      </w:r>
      <w:r w:rsidR="006D626E">
        <w:rPr>
          <w:rFonts w:cstheme="minorHAnsi"/>
        </w:rPr>
        <w:t>2</w:t>
      </w:r>
      <w:r w:rsidR="001002FC">
        <w:rPr>
          <w:rFonts w:cstheme="minorHAnsi"/>
        </w:rPr>
        <w:t>:</w:t>
      </w:r>
    </w:p>
    <w:p w14:paraId="4BB0B89F" w14:textId="7DF389A8" w:rsidR="001002FC" w:rsidRPr="00AC527F" w:rsidRDefault="001002FC" w:rsidP="007A2476">
      <w:pPr>
        <w:autoSpaceDE w:val="0"/>
        <w:autoSpaceDN w:val="0"/>
        <w:adjustRightInd w:val="0"/>
        <w:spacing w:after="0" w:line="240" w:lineRule="auto"/>
        <w:rPr>
          <w:sz w:val="24"/>
        </w:rPr>
      </w:pPr>
      <w:r>
        <w:rPr>
          <w:noProof/>
        </w:rPr>
        <w:drawing>
          <wp:inline distT="0" distB="0" distL="0" distR="0" wp14:anchorId="02F4ED38" wp14:editId="31D5F212">
            <wp:extent cx="6705600" cy="158912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6730168" cy="1594942"/>
                    </a:xfrm>
                    <a:prstGeom prst="rect">
                      <a:avLst/>
                    </a:prstGeom>
                  </pic:spPr>
                </pic:pic>
              </a:graphicData>
            </a:graphic>
          </wp:inline>
        </w:drawing>
      </w:r>
    </w:p>
    <w:p w14:paraId="6C2DC3F6" w14:textId="77777777" w:rsidR="00420F17" w:rsidRDefault="00420F17" w:rsidP="005501B6">
      <w:pPr>
        <w:autoSpaceDE w:val="0"/>
        <w:autoSpaceDN w:val="0"/>
        <w:adjustRightInd w:val="0"/>
        <w:spacing w:after="0" w:line="240" w:lineRule="auto"/>
      </w:pPr>
    </w:p>
    <w:p w14:paraId="32C3B253" w14:textId="77777777" w:rsidR="00420F17" w:rsidRPr="00BC5F4F" w:rsidRDefault="00BC5F4F" w:rsidP="005501B6">
      <w:pPr>
        <w:autoSpaceDE w:val="0"/>
        <w:autoSpaceDN w:val="0"/>
        <w:adjustRightInd w:val="0"/>
        <w:spacing w:after="0" w:line="240" w:lineRule="auto"/>
        <w:rPr>
          <w:b/>
          <w:sz w:val="28"/>
        </w:rPr>
      </w:pPr>
      <w:r w:rsidRPr="00BC5F4F">
        <w:rPr>
          <w:b/>
          <w:sz w:val="28"/>
        </w:rPr>
        <w:lastRenderedPageBreak/>
        <w:t>Allocation Methodology</w:t>
      </w:r>
    </w:p>
    <w:p w14:paraId="189CDAAB" w14:textId="77777777" w:rsidR="00BC5F4F" w:rsidRDefault="00BC5F4F" w:rsidP="00BC5F4F">
      <w:pPr>
        <w:autoSpaceDE w:val="0"/>
        <w:autoSpaceDN w:val="0"/>
        <w:adjustRightInd w:val="0"/>
        <w:spacing w:after="0" w:line="240" w:lineRule="auto"/>
      </w:pPr>
      <w:r>
        <w:t>Our “Bucket” Concept model identifies new sources of revenue received annually, including:</w:t>
      </w:r>
    </w:p>
    <w:p w14:paraId="547D94A8" w14:textId="77777777" w:rsidR="00BC5F4F" w:rsidRDefault="00BC5F4F" w:rsidP="00BC5F4F">
      <w:pPr>
        <w:autoSpaceDE w:val="0"/>
        <w:autoSpaceDN w:val="0"/>
        <w:adjustRightInd w:val="0"/>
        <w:spacing w:after="0" w:line="240" w:lineRule="auto"/>
        <w:ind w:left="720"/>
      </w:pPr>
      <w:r>
        <w:t>1. Growth funds;</w:t>
      </w:r>
    </w:p>
    <w:p w14:paraId="70BCD642" w14:textId="77777777" w:rsidR="00BC5F4F" w:rsidRDefault="00BC5F4F" w:rsidP="00BC5F4F">
      <w:pPr>
        <w:autoSpaceDE w:val="0"/>
        <w:autoSpaceDN w:val="0"/>
        <w:adjustRightInd w:val="0"/>
        <w:spacing w:after="0" w:line="240" w:lineRule="auto"/>
        <w:ind w:left="720"/>
      </w:pPr>
      <w:r>
        <w:t>2. Cost of living adjustments (COLA);</w:t>
      </w:r>
    </w:p>
    <w:p w14:paraId="17748B07" w14:textId="77777777" w:rsidR="00BC5F4F" w:rsidRDefault="00BC5F4F" w:rsidP="00BC5F4F">
      <w:pPr>
        <w:autoSpaceDE w:val="0"/>
        <w:autoSpaceDN w:val="0"/>
        <w:adjustRightInd w:val="0"/>
        <w:spacing w:after="0" w:line="240" w:lineRule="auto"/>
        <w:ind w:left="720"/>
      </w:pPr>
      <w:r>
        <w:t>3. Other Program Based Funding revenues when appropriated;</w:t>
      </w:r>
    </w:p>
    <w:p w14:paraId="6D06587E" w14:textId="77777777" w:rsidR="00BC5F4F" w:rsidRDefault="00BC5F4F" w:rsidP="00BC5F4F">
      <w:pPr>
        <w:autoSpaceDE w:val="0"/>
        <w:autoSpaceDN w:val="0"/>
        <w:adjustRightInd w:val="0"/>
        <w:spacing w:after="0" w:line="240" w:lineRule="auto"/>
        <w:ind w:left="720"/>
      </w:pPr>
      <w:r>
        <w:t>4. Program improvement funds, including equalization dollars;</w:t>
      </w:r>
    </w:p>
    <w:p w14:paraId="277DC885" w14:textId="77777777" w:rsidR="00BC5F4F" w:rsidRDefault="00BC5F4F" w:rsidP="00BC5F4F">
      <w:pPr>
        <w:autoSpaceDE w:val="0"/>
        <w:autoSpaceDN w:val="0"/>
        <w:adjustRightInd w:val="0"/>
        <w:spacing w:after="0" w:line="240" w:lineRule="auto"/>
        <w:ind w:left="720"/>
      </w:pPr>
      <w:r>
        <w:t>5. Lottery revenues;</w:t>
      </w:r>
    </w:p>
    <w:p w14:paraId="1F825BC7" w14:textId="77777777" w:rsidR="00BC5F4F" w:rsidRDefault="00BC5F4F" w:rsidP="00BC5F4F">
      <w:pPr>
        <w:autoSpaceDE w:val="0"/>
        <w:autoSpaceDN w:val="0"/>
        <w:adjustRightInd w:val="0"/>
        <w:spacing w:after="0" w:line="240" w:lineRule="auto"/>
        <w:ind w:left="720"/>
      </w:pPr>
      <w:r>
        <w:t>6. Cost reductions and/or salary savings (decrements).</w:t>
      </w:r>
    </w:p>
    <w:p w14:paraId="6707A361" w14:textId="77777777" w:rsidR="00BC5F4F" w:rsidRDefault="00BC5F4F" w:rsidP="00BC5F4F">
      <w:pPr>
        <w:autoSpaceDE w:val="0"/>
        <w:autoSpaceDN w:val="0"/>
        <w:adjustRightInd w:val="0"/>
        <w:spacing w:after="0" w:line="240" w:lineRule="auto"/>
      </w:pPr>
    </w:p>
    <w:p w14:paraId="2B13A205" w14:textId="77777777" w:rsidR="00BC5F4F" w:rsidRDefault="00BC5F4F" w:rsidP="00B24D0A">
      <w:pPr>
        <w:autoSpaceDE w:val="0"/>
        <w:autoSpaceDN w:val="0"/>
        <w:adjustRightInd w:val="0"/>
        <w:spacing w:after="0" w:line="240" w:lineRule="auto"/>
      </w:pPr>
      <w:r w:rsidRPr="003B32CD">
        <w:t xml:space="preserve">Eighty percent (80%) of these new funds are allocated to the respective collective bargaining units based upon a proportionate share. In Fiscal year 2020-21, the proportionate share for each bargaining unit was LRCFT </w:t>
      </w:r>
      <w:r w:rsidR="003B32CD" w:rsidRPr="003B32CD">
        <w:t>–</w:t>
      </w:r>
      <w:r w:rsidRPr="003B32CD">
        <w:t xml:space="preserve"> </w:t>
      </w:r>
      <w:r w:rsidR="003B32CD" w:rsidRPr="003B32CD">
        <w:t>62</w:t>
      </w:r>
      <w:r w:rsidRPr="003B32CD">
        <w:t xml:space="preserve">%, LRCEA </w:t>
      </w:r>
      <w:r w:rsidR="003B32CD" w:rsidRPr="003B32CD">
        <w:t>–</w:t>
      </w:r>
      <w:r w:rsidRPr="003B32CD">
        <w:t xml:space="preserve"> </w:t>
      </w:r>
      <w:r w:rsidR="003B32CD" w:rsidRPr="003B32CD">
        <w:t>20</w:t>
      </w:r>
      <w:r w:rsidRPr="003B32CD">
        <w:t xml:space="preserve">%, SEIU - </w:t>
      </w:r>
      <w:r w:rsidR="003B32CD" w:rsidRPr="003B32CD">
        <w:t>6</w:t>
      </w:r>
      <w:r w:rsidRPr="003B32CD">
        <w:t xml:space="preserve">%, LRSA </w:t>
      </w:r>
      <w:r w:rsidR="003B32CD" w:rsidRPr="003B32CD">
        <w:t>–</w:t>
      </w:r>
      <w:r w:rsidRPr="003B32CD">
        <w:t xml:space="preserve"> </w:t>
      </w:r>
      <w:r w:rsidR="003B32CD" w:rsidRPr="003B32CD">
        <w:t>3%</w:t>
      </w:r>
      <w:r w:rsidRPr="003B32CD">
        <w:t xml:space="preserve">, Confidential and Management - </w:t>
      </w:r>
      <w:r w:rsidR="003B32CD" w:rsidRPr="003B32CD">
        <w:t>9</w:t>
      </w:r>
      <w:r w:rsidRPr="003B32CD">
        <w:t>%</w:t>
      </w:r>
      <w:r w:rsidR="00B24D0A" w:rsidRPr="003B32CD">
        <w:t xml:space="preserve">. So, for example, LRCFT receives nearly </w:t>
      </w:r>
      <w:r w:rsidR="003B32CD" w:rsidRPr="003B32CD">
        <w:t>62</w:t>
      </w:r>
      <w:r w:rsidR="00B24D0A" w:rsidRPr="003B32CD">
        <w:t xml:space="preserve">% of 80% of the new revenues identified above, LRCEA receives </w:t>
      </w:r>
      <w:r w:rsidR="003B32CD">
        <w:t>20</w:t>
      </w:r>
      <w:r w:rsidR="00B24D0A" w:rsidRPr="003B32CD">
        <w:t>%, etc.</w:t>
      </w:r>
      <w:r w:rsidR="00B24D0A">
        <w:t xml:space="preserve"> </w:t>
      </w:r>
    </w:p>
    <w:p w14:paraId="2B3B753B" w14:textId="77777777" w:rsidR="00BC5F4F" w:rsidRDefault="00BC5F4F" w:rsidP="005501B6">
      <w:pPr>
        <w:autoSpaceDE w:val="0"/>
        <w:autoSpaceDN w:val="0"/>
        <w:adjustRightInd w:val="0"/>
        <w:spacing w:after="0" w:line="240" w:lineRule="auto"/>
      </w:pPr>
    </w:p>
    <w:p w14:paraId="230D22FD" w14:textId="77777777" w:rsidR="00267A6F" w:rsidRDefault="00267A6F" w:rsidP="00267A6F">
      <w:pPr>
        <w:autoSpaceDE w:val="0"/>
        <w:autoSpaceDN w:val="0"/>
        <w:adjustRightInd w:val="0"/>
        <w:spacing w:after="0" w:line="240" w:lineRule="auto"/>
      </w:pPr>
      <w:r>
        <w:t>While this methodology ensures equity in distribution of 80% of our resources, it limits the District’s operating revenue on an annual basis to 20%. It also limits growth in the District’s ending reserve.</w:t>
      </w:r>
    </w:p>
    <w:p w14:paraId="4A04137C" w14:textId="77777777" w:rsidR="003B32CD" w:rsidRDefault="003B32CD" w:rsidP="00267A6F">
      <w:pPr>
        <w:autoSpaceDE w:val="0"/>
        <w:autoSpaceDN w:val="0"/>
        <w:adjustRightInd w:val="0"/>
        <w:spacing w:after="0" w:line="240" w:lineRule="auto"/>
        <w:rPr>
          <w:b/>
          <w:i/>
          <w:sz w:val="32"/>
        </w:rPr>
      </w:pPr>
    </w:p>
    <w:p w14:paraId="196C5224" w14:textId="77777777" w:rsidR="00AC527F" w:rsidRDefault="00AC527F" w:rsidP="00267A6F">
      <w:pPr>
        <w:autoSpaceDE w:val="0"/>
        <w:autoSpaceDN w:val="0"/>
        <w:adjustRightInd w:val="0"/>
        <w:spacing w:after="0" w:line="240" w:lineRule="auto"/>
        <w:rPr>
          <w:b/>
          <w:i/>
          <w:sz w:val="32"/>
        </w:rPr>
      </w:pPr>
    </w:p>
    <w:p w14:paraId="005896B7" w14:textId="77777777" w:rsidR="00C168DA" w:rsidRDefault="00C168DA" w:rsidP="001E5852">
      <w:pPr>
        <w:spacing w:after="0"/>
        <w:rPr>
          <w:b/>
          <w:sz w:val="32"/>
        </w:rPr>
      </w:pPr>
    </w:p>
    <w:p w14:paraId="4EC0ADE0" w14:textId="77777777" w:rsidR="007D12BF" w:rsidRDefault="007D12BF" w:rsidP="001E5852">
      <w:pPr>
        <w:spacing w:after="0"/>
        <w:rPr>
          <w:b/>
          <w:sz w:val="32"/>
        </w:rPr>
      </w:pPr>
    </w:p>
    <w:p w14:paraId="06C9442C" w14:textId="77777777" w:rsidR="007D12BF" w:rsidRDefault="007D12BF" w:rsidP="001E5852">
      <w:pPr>
        <w:spacing w:after="0"/>
        <w:rPr>
          <w:b/>
          <w:sz w:val="32"/>
        </w:rPr>
      </w:pPr>
    </w:p>
    <w:p w14:paraId="77E447DC" w14:textId="77777777" w:rsidR="007D12BF" w:rsidRDefault="007D12BF" w:rsidP="001E5852">
      <w:pPr>
        <w:spacing w:after="0"/>
        <w:rPr>
          <w:b/>
          <w:sz w:val="32"/>
        </w:rPr>
      </w:pPr>
    </w:p>
    <w:p w14:paraId="713B745E" w14:textId="77777777" w:rsidR="007D12BF" w:rsidRDefault="007D12BF" w:rsidP="001E5852">
      <w:pPr>
        <w:spacing w:after="0"/>
        <w:rPr>
          <w:b/>
          <w:sz w:val="32"/>
        </w:rPr>
      </w:pPr>
    </w:p>
    <w:p w14:paraId="52817544" w14:textId="77777777" w:rsidR="007D12BF" w:rsidRDefault="007D12BF" w:rsidP="001E5852">
      <w:pPr>
        <w:spacing w:after="0"/>
        <w:rPr>
          <w:b/>
          <w:sz w:val="32"/>
        </w:rPr>
      </w:pPr>
    </w:p>
    <w:p w14:paraId="040AC4C9" w14:textId="77777777" w:rsidR="007D12BF" w:rsidRDefault="007D12BF" w:rsidP="001E5852">
      <w:pPr>
        <w:spacing w:after="0"/>
        <w:rPr>
          <w:b/>
          <w:sz w:val="32"/>
        </w:rPr>
      </w:pPr>
    </w:p>
    <w:p w14:paraId="2E167DED" w14:textId="77777777" w:rsidR="007D12BF" w:rsidRDefault="007D12BF" w:rsidP="001E5852">
      <w:pPr>
        <w:spacing w:after="0"/>
        <w:rPr>
          <w:b/>
          <w:sz w:val="32"/>
        </w:rPr>
      </w:pPr>
    </w:p>
    <w:p w14:paraId="32D00169" w14:textId="77777777" w:rsidR="007D12BF" w:rsidRDefault="007D12BF" w:rsidP="001E5852">
      <w:pPr>
        <w:spacing w:after="0"/>
        <w:rPr>
          <w:b/>
          <w:sz w:val="32"/>
        </w:rPr>
      </w:pPr>
    </w:p>
    <w:p w14:paraId="63E68B93" w14:textId="77777777" w:rsidR="007D12BF" w:rsidRDefault="007D12BF" w:rsidP="001E5852">
      <w:pPr>
        <w:spacing w:after="0"/>
        <w:rPr>
          <w:b/>
          <w:sz w:val="32"/>
        </w:rPr>
      </w:pPr>
    </w:p>
    <w:p w14:paraId="029844D9" w14:textId="77777777" w:rsidR="007D12BF" w:rsidRDefault="007D12BF" w:rsidP="001E5852">
      <w:pPr>
        <w:spacing w:after="0"/>
        <w:rPr>
          <w:b/>
          <w:sz w:val="32"/>
        </w:rPr>
      </w:pPr>
    </w:p>
    <w:p w14:paraId="60A8A399" w14:textId="77777777" w:rsidR="007D12BF" w:rsidRDefault="007D12BF" w:rsidP="001E5852">
      <w:pPr>
        <w:spacing w:after="0"/>
        <w:rPr>
          <w:b/>
          <w:sz w:val="32"/>
        </w:rPr>
      </w:pPr>
    </w:p>
    <w:p w14:paraId="4811EAA8" w14:textId="77777777" w:rsidR="007D12BF" w:rsidRDefault="007D12BF" w:rsidP="001E5852">
      <w:pPr>
        <w:spacing w:after="0"/>
        <w:rPr>
          <w:b/>
          <w:sz w:val="32"/>
        </w:rPr>
      </w:pPr>
    </w:p>
    <w:p w14:paraId="034D7DD5" w14:textId="77777777" w:rsidR="007D12BF" w:rsidRDefault="007D12BF" w:rsidP="001E5852">
      <w:pPr>
        <w:spacing w:after="0"/>
        <w:rPr>
          <w:b/>
          <w:sz w:val="32"/>
        </w:rPr>
      </w:pPr>
    </w:p>
    <w:p w14:paraId="13FE6549" w14:textId="72640CD7" w:rsidR="001E5852" w:rsidRDefault="001E5852" w:rsidP="001E5852">
      <w:pPr>
        <w:spacing w:after="0"/>
        <w:rPr>
          <w:b/>
          <w:sz w:val="32"/>
        </w:rPr>
      </w:pPr>
      <w:r>
        <w:rPr>
          <w:b/>
          <w:sz w:val="32"/>
        </w:rPr>
        <w:lastRenderedPageBreak/>
        <w:t>2020-21 Actual Expenditures from the 2021-22 Adopted Budget Book</w:t>
      </w:r>
    </w:p>
    <w:p w14:paraId="3603CFB3" w14:textId="666DF183" w:rsidR="001E5852" w:rsidRDefault="001E5852" w:rsidP="001E5852">
      <w:pPr>
        <w:spacing w:after="0"/>
        <w:rPr>
          <w:b/>
          <w:sz w:val="32"/>
        </w:rPr>
      </w:pPr>
      <w:r>
        <w:rPr>
          <w:b/>
          <w:sz w:val="32"/>
        </w:rPr>
        <w:t>General Fund</w:t>
      </w:r>
      <w:r w:rsidR="00EF51EB">
        <w:rPr>
          <w:b/>
          <w:sz w:val="32"/>
        </w:rPr>
        <w:t>, restricted and unrestricted</w:t>
      </w:r>
    </w:p>
    <w:p w14:paraId="62A509EF" w14:textId="1F89C21E" w:rsidR="001E5852" w:rsidRPr="001E5852" w:rsidRDefault="001E5852" w:rsidP="001E5852">
      <w:pPr>
        <w:spacing w:after="0"/>
        <w:rPr>
          <w:b/>
          <w:sz w:val="32"/>
        </w:rPr>
      </w:pPr>
      <w:r>
        <w:rPr>
          <w:b/>
          <w:noProof/>
          <w:sz w:val="32"/>
        </w:rPr>
        <w:drawing>
          <wp:inline distT="0" distB="0" distL="0" distR="0" wp14:anchorId="268B44C4" wp14:editId="711C9E1F">
            <wp:extent cx="9431079" cy="5890437"/>
            <wp:effectExtent l="0" t="0" r="1778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301B74" w14:textId="68859508" w:rsidR="001E5852" w:rsidRPr="00F2435B" w:rsidRDefault="001E5852" w:rsidP="001E5852">
      <w:pPr>
        <w:rPr>
          <w:i/>
          <w:sz w:val="28"/>
          <w:szCs w:val="24"/>
        </w:rPr>
      </w:pPr>
      <w:r w:rsidRPr="00F2435B">
        <w:rPr>
          <w:i/>
          <w:sz w:val="28"/>
          <w:szCs w:val="24"/>
        </w:rPr>
        <w:t xml:space="preserve">Academic and Classified Salaries and Employee Benefits equal 78% of the General Fund </w:t>
      </w:r>
      <w:r w:rsidR="002F44FA">
        <w:rPr>
          <w:i/>
          <w:sz w:val="28"/>
          <w:szCs w:val="24"/>
        </w:rPr>
        <w:t xml:space="preserve">(unrestricted &amp; restricted) </w:t>
      </w:r>
      <w:r w:rsidRPr="00F2435B">
        <w:rPr>
          <w:i/>
          <w:sz w:val="28"/>
          <w:szCs w:val="24"/>
        </w:rPr>
        <w:t xml:space="preserve">budget. </w:t>
      </w:r>
    </w:p>
    <w:p w14:paraId="497AF2EA" w14:textId="37FAC93C" w:rsidR="00EF51EB" w:rsidRPr="001F63B8" w:rsidRDefault="00EF51EB" w:rsidP="00703B68">
      <w:pPr>
        <w:spacing w:after="0" w:line="240" w:lineRule="auto"/>
        <w:rPr>
          <w:b/>
          <w:bCs/>
          <w:sz w:val="28"/>
          <w:szCs w:val="24"/>
        </w:rPr>
      </w:pPr>
      <w:r w:rsidRPr="001F63B8">
        <w:rPr>
          <w:b/>
          <w:bCs/>
          <w:sz w:val="28"/>
          <w:szCs w:val="24"/>
        </w:rPr>
        <w:lastRenderedPageBreak/>
        <w:t xml:space="preserve">2020-21 Actual Expenditures </w:t>
      </w:r>
    </w:p>
    <w:p w14:paraId="2B06DB24" w14:textId="2180CFEC" w:rsidR="00EF51EB" w:rsidRPr="001F63B8" w:rsidRDefault="00EF51EB" w:rsidP="00703B68">
      <w:pPr>
        <w:spacing w:after="0" w:line="240" w:lineRule="auto"/>
        <w:rPr>
          <w:b/>
          <w:bCs/>
          <w:sz w:val="28"/>
          <w:szCs w:val="24"/>
        </w:rPr>
      </w:pPr>
      <w:r w:rsidRPr="001F63B8">
        <w:rPr>
          <w:b/>
          <w:bCs/>
          <w:sz w:val="28"/>
          <w:szCs w:val="24"/>
        </w:rPr>
        <w:t>General Fund</w:t>
      </w:r>
    </w:p>
    <w:p w14:paraId="1F4C3A6F" w14:textId="67A2FBAF" w:rsidR="00EF51EB" w:rsidRDefault="001F63B8">
      <w:pPr>
        <w:rPr>
          <w:b/>
          <w:bCs/>
          <w:sz w:val="24"/>
        </w:rPr>
      </w:pPr>
      <w:r>
        <w:rPr>
          <w:b/>
          <w:bCs/>
          <w:noProof/>
          <w:sz w:val="24"/>
        </w:rPr>
        <w:drawing>
          <wp:anchor distT="0" distB="0" distL="114300" distR="114300" simplePos="0" relativeHeight="251660288" behindDoc="0" locked="0" layoutInCell="1" allowOverlap="1" wp14:anchorId="3A1253F7" wp14:editId="56CCE679">
            <wp:simplePos x="0" y="0"/>
            <wp:positionH relativeFrom="margin">
              <wp:align>center</wp:align>
            </wp:positionH>
            <wp:positionV relativeFrom="paragraph">
              <wp:posOffset>3029840</wp:posOffset>
            </wp:positionV>
            <wp:extent cx="548640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B0E34">
        <w:rPr>
          <w:b/>
          <w:bCs/>
          <w:noProof/>
          <w:sz w:val="24"/>
        </w:rPr>
        <w:drawing>
          <wp:inline distT="0" distB="0" distL="0" distR="0" wp14:anchorId="2DF9B375" wp14:editId="4E29BF9F">
            <wp:extent cx="4726380" cy="2986644"/>
            <wp:effectExtent l="0" t="0" r="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B0E34">
        <w:rPr>
          <w:b/>
          <w:bCs/>
          <w:noProof/>
          <w:sz w:val="24"/>
        </w:rPr>
        <w:drawing>
          <wp:inline distT="0" distB="0" distL="0" distR="0" wp14:anchorId="44CB698A" wp14:editId="0BFBD2A6">
            <wp:extent cx="4666615" cy="2974711"/>
            <wp:effectExtent l="0" t="0" r="63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F51EB">
        <w:rPr>
          <w:b/>
          <w:bCs/>
          <w:sz w:val="24"/>
        </w:rPr>
        <w:br w:type="page"/>
      </w:r>
    </w:p>
    <w:p w14:paraId="2F682A41" w14:textId="77777777" w:rsidR="00EF51EB" w:rsidRDefault="00EF51EB">
      <w:pPr>
        <w:rPr>
          <w:b/>
          <w:bCs/>
          <w:sz w:val="24"/>
        </w:rPr>
      </w:pPr>
    </w:p>
    <w:p w14:paraId="2F8A1788" w14:textId="0CC5E76F" w:rsidR="00703B68" w:rsidRPr="00703B68" w:rsidRDefault="00703B68" w:rsidP="00703B68">
      <w:pPr>
        <w:spacing w:after="0" w:line="240" w:lineRule="auto"/>
        <w:rPr>
          <w:b/>
          <w:bCs/>
          <w:sz w:val="24"/>
        </w:rPr>
      </w:pPr>
      <w:r w:rsidRPr="00703B68">
        <w:rPr>
          <w:b/>
          <w:bCs/>
          <w:sz w:val="24"/>
        </w:rPr>
        <w:t>Categorical Funds</w:t>
      </w:r>
    </w:p>
    <w:p w14:paraId="05EFCF23" w14:textId="5932E629" w:rsidR="00703B68" w:rsidRPr="00703B68" w:rsidRDefault="00703B68" w:rsidP="00703B68">
      <w:pPr>
        <w:spacing w:after="0" w:line="240" w:lineRule="auto"/>
        <w:rPr>
          <w:b/>
          <w:bCs/>
          <w:sz w:val="24"/>
        </w:rPr>
      </w:pPr>
      <w:r w:rsidRPr="00703B68">
        <w:rPr>
          <w:b/>
          <w:bCs/>
          <w:sz w:val="24"/>
        </w:rPr>
        <w:t>Allocation Method</w:t>
      </w:r>
    </w:p>
    <w:p w14:paraId="0E95E9DF" w14:textId="6CB0ADC8" w:rsidR="00703B68" w:rsidRDefault="00703B68" w:rsidP="00703B68">
      <w:pPr>
        <w:spacing w:after="0" w:line="240" w:lineRule="auto"/>
        <w:rPr>
          <w:b/>
          <w:bCs/>
          <w:sz w:val="24"/>
        </w:rPr>
      </w:pPr>
      <w:r w:rsidRPr="00703B68">
        <w:rPr>
          <w:b/>
          <w:bCs/>
          <w:sz w:val="24"/>
        </w:rPr>
        <w:t>Fiscal Year 2021-22</w:t>
      </w:r>
    </w:p>
    <w:p w14:paraId="55F4123F" w14:textId="10B48DC9" w:rsidR="00703B68" w:rsidRPr="00703B68" w:rsidRDefault="00CF26F8" w:rsidP="008F7596">
      <w:pPr>
        <w:spacing w:after="0" w:line="240" w:lineRule="auto"/>
        <w:rPr>
          <w:b/>
          <w:bCs/>
          <w:sz w:val="24"/>
        </w:rPr>
      </w:pPr>
      <w:r w:rsidRPr="00CF26F8">
        <w:rPr>
          <w:b/>
          <w:bCs/>
          <w:noProof/>
          <w:sz w:val="24"/>
        </w:rPr>
        <mc:AlternateContent>
          <mc:Choice Requires="wps">
            <w:drawing>
              <wp:anchor distT="45720" distB="45720" distL="114300" distR="114300" simplePos="0" relativeHeight="251659264" behindDoc="0" locked="0" layoutInCell="1" allowOverlap="1" wp14:anchorId="068ADA15" wp14:editId="0224C516">
                <wp:simplePos x="0" y="0"/>
                <wp:positionH relativeFrom="margin">
                  <wp:align>left</wp:align>
                </wp:positionH>
                <wp:positionV relativeFrom="paragraph">
                  <wp:posOffset>5629230</wp:posOffset>
                </wp:positionV>
                <wp:extent cx="5391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noFill/>
                          <a:miter lim="800000"/>
                          <a:headEnd/>
                          <a:tailEnd/>
                        </a:ln>
                      </wps:spPr>
                      <wps:txbx>
                        <w:txbxContent>
                          <w:p w14:paraId="0BDE119C" w14:textId="15F6E5E3" w:rsidR="00CF26F8" w:rsidRPr="00CF26F8" w:rsidRDefault="00CF26F8">
                            <w:pPr>
                              <w:rPr>
                                <w:i/>
                                <w:iCs/>
                                <w:sz w:val="20"/>
                                <w:szCs w:val="20"/>
                              </w:rPr>
                            </w:pPr>
                            <w:r w:rsidRPr="00CF26F8">
                              <w:rPr>
                                <w:i/>
                                <w:iCs/>
                                <w:sz w:val="20"/>
                                <w:szCs w:val="20"/>
                              </w:rPr>
                              <w:t>*HEERF Funding included in fiscal year 2021-22 revenue is $15</w:t>
                            </w:r>
                            <w:r w:rsidR="00A47A47">
                              <w:rPr>
                                <w:i/>
                                <w:iCs/>
                                <w:sz w:val="20"/>
                                <w:szCs w:val="20"/>
                              </w:rPr>
                              <w:t>6</w:t>
                            </w:r>
                            <w:r w:rsidRPr="00CF26F8">
                              <w:rPr>
                                <w:i/>
                                <w:iCs/>
                                <w:sz w:val="20"/>
                                <w:szCs w:val="20"/>
                              </w:rPr>
                              <w:t xml:space="preserve"> million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ADA15" id="_x0000_t202" coordsize="21600,21600" o:spt="202" path="m,l,21600r21600,l21600,xe">
                <v:stroke joinstyle="miter"/>
                <v:path gradientshapeok="t" o:connecttype="rect"/>
              </v:shapetype>
              <v:shape id="Text Box 2" o:spid="_x0000_s1026" type="#_x0000_t202" style="position:absolute;margin-left:0;margin-top:443.25pt;width:424.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" stroked="f">
                <v:textbox style="mso-fit-shape-to-text:t">
                  <w:txbxContent>
                    <w:p w14:paraId="0BDE119C" w14:textId="15F6E5E3" w:rsidR="00CF26F8" w:rsidRPr="00CF26F8" w:rsidRDefault="00CF26F8">
                      <w:pPr>
                        <w:rPr>
                          <w:i/>
                          <w:iCs/>
                          <w:sz w:val="20"/>
                          <w:szCs w:val="20"/>
                        </w:rPr>
                      </w:pPr>
                      <w:r w:rsidRPr="00CF26F8">
                        <w:rPr>
                          <w:i/>
                          <w:iCs/>
                          <w:sz w:val="20"/>
                          <w:szCs w:val="20"/>
                        </w:rPr>
                        <w:t>*HEERF Funding included in fiscal year 2021-22 revenue is $15</w:t>
                      </w:r>
                      <w:r w:rsidR="00A47A47">
                        <w:rPr>
                          <w:i/>
                          <w:iCs/>
                          <w:sz w:val="20"/>
                          <w:szCs w:val="20"/>
                        </w:rPr>
                        <w:t>6</w:t>
                      </w:r>
                      <w:r w:rsidRPr="00CF26F8">
                        <w:rPr>
                          <w:i/>
                          <w:iCs/>
                          <w:sz w:val="20"/>
                          <w:szCs w:val="20"/>
                        </w:rPr>
                        <w:t xml:space="preserve"> million</w:t>
                      </w:r>
                    </w:p>
                  </w:txbxContent>
                </v:textbox>
                <w10:wrap type="square" anchorx="margin"/>
              </v:shape>
            </w:pict>
          </mc:Fallback>
        </mc:AlternateContent>
      </w:r>
      <w:r w:rsidR="008F7596">
        <w:rPr>
          <w:b/>
          <w:bCs/>
          <w:noProof/>
          <w:sz w:val="24"/>
        </w:rPr>
        <w:drawing>
          <wp:inline distT="0" distB="0" distL="0" distR="0" wp14:anchorId="2A90298A" wp14:editId="195503D9">
            <wp:extent cx="8548370" cy="5550195"/>
            <wp:effectExtent l="0" t="0" r="508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703B68" w:rsidRPr="00703B68" w:rsidSect="00585C15">
      <w:pgSz w:w="15840" w:h="12240" w:orient="landscape"/>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2B88" w14:textId="77777777" w:rsidR="00C70235" w:rsidRDefault="00C70235" w:rsidP="00C70235">
      <w:pPr>
        <w:spacing w:after="0" w:line="240" w:lineRule="auto"/>
      </w:pPr>
      <w:r>
        <w:separator/>
      </w:r>
    </w:p>
  </w:endnote>
  <w:endnote w:type="continuationSeparator" w:id="0">
    <w:p w14:paraId="6325BC00" w14:textId="77777777" w:rsidR="00C70235" w:rsidRDefault="00C70235" w:rsidP="00C7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A0F8" w14:textId="77777777" w:rsidR="00C70235" w:rsidRDefault="00C70235" w:rsidP="00C70235">
      <w:pPr>
        <w:spacing w:after="0" w:line="240" w:lineRule="auto"/>
      </w:pPr>
      <w:r>
        <w:separator/>
      </w:r>
    </w:p>
  </w:footnote>
  <w:footnote w:type="continuationSeparator" w:id="0">
    <w:p w14:paraId="725F1842" w14:textId="77777777" w:rsidR="00C70235" w:rsidRDefault="00C70235" w:rsidP="00C70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55BF4"/>
    <w:multiLevelType w:val="hybridMultilevel"/>
    <w:tmpl w:val="C826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40F2B"/>
    <w:multiLevelType w:val="hybridMultilevel"/>
    <w:tmpl w:val="AF84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B6"/>
    <w:rsid w:val="00003BB3"/>
    <w:rsid w:val="00026461"/>
    <w:rsid w:val="00064958"/>
    <w:rsid w:val="001002FC"/>
    <w:rsid w:val="00104A6E"/>
    <w:rsid w:val="00156896"/>
    <w:rsid w:val="001A0E83"/>
    <w:rsid w:val="001B0E34"/>
    <w:rsid w:val="001C4D11"/>
    <w:rsid w:val="001E5852"/>
    <w:rsid w:val="001F1778"/>
    <w:rsid w:val="001F63B8"/>
    <w:rsid w:val="0023000F"/>
    <w:rsid w:val="00244217"/>
    <w:rsid w:val="00245A5A"/>
    <w:rsid w:val="00267A6F"/>
    <w:rsid w:val="002C01E4"/>
    <w:rsid w:val="002C5501"/>
    <w:rsid w:val="002F44FA"/>
    <w:rsid w:val="00370ED6"/>
    <w:rsid w:val="00385C8F"/>
    <w:rsid w:val="003B32CD"/>
    <w:rsid w:val="003D5BA8"/>
    <w:rsid w:val="003F58A7"/>
    <w:rsid w:val="003F5B51"/>
    <w:rsid w:val="0041075C"/>
    <w:rsid w:val="00420F17"/>
    <w:rsid w:val="00436A87"/>
    <w:rsid w:val="004418A3"/>
    <w:rsid w:val="004559CA"/>
    <w:rsid w:val="004959B4"/>
    <w:rsid w:val="004E0BCB"/>
    <w:rsid w:val="0050090E"/>
    <w:rsid w:val="005132F4"/>
    <w:rsid w:val="005278A0"/>
    <w:rsid w:val="005501B6"/>
    <w:rsid w:val="00585C15"/>
    <w:rsid w:val="00587AE7"/>
    <w:rsid w:val="006D626E"/>
    <w:rsid w:val="006F0546"/>
    <w:rsid w:val="00703B68"/>
    <w:rsid w:val="0074091E"/>
    <w:rsid w:val="00756843"/>
    <w:rsid w:val="00791905"/>
    <w:rsid w:val="007A2476"/>
    <w:rsid w:val="007A5E4E"/>
    <w:rsid w:val="007B350B"/>
    <w:rsid w:val="007D12BF"/>
    <w:rsid w:val="007D71B5"/>
    <w:rsid w:val="007E74F0"/>
    <w:rsid w:val="00820DF9"/>
    <w:rsid w:val="00861222"/>
    <w:rsid w:val="00874A94"/>
    <w:rsid w:val="008A7BAE"/>
    <w:rsid w:val="008E0C49"/>
    <w:rsid w:val="008F7596"/>
    <w:rsid w:val="00923707"/>
    <w:rsid w:val="00931169"/>
    <w:rsid w:val="00966091"/>
    <w:rsid w:val="009A5F3A"/>
    <w:rsid w:val="00A05D4A"/>
    <w:rsid w:val="00A176E6"/>
    <w:rsid w:val="00A331EE"/>
    <w:rsid w:val="00A47A47"/>
    <w:rsid w:val="00AB3718"/>
    <w:rsid w:val="00AB4B59"/>
    <w:rsid w:val="00AC527F"/>
    <w:rsid w:val="00AC5747"/>
    <w:rsid w:val="00AE0317"/>
    <w:rsid w:val="00B0556E"/>
    <w:rsid w:val="00B24D0A"/>
    <w:rsid w:val="00B3374A"/>
    <w:rsid w:val="00BC5F4F"/>
    <w:rsid w:val="00C168DA"/>
    <w:rsid w:val="00C22C8C"/>
    <w:rsid w:val="00C271B5"/>
    <w:rsid w:val="00C47590"/>
    <w:rsid w:val="00C512B0"/>
    <w:rsid w:val="00C60596"/>
    <w:rsid w:val="00C70235"/>
    <w:rsid w:val="00CB08AB"/>
    <w:rsid w:val="00CB5D33"/>
    <w:rsid w:val="00CE707C"/>
    <w:rsid w:val="00CF26F8"/>
    <w:rsid w:val="00D51F40"/>
    <w:rsid w:val="00D93582"/>
    <w:rsid w:val="00DC602A"/>
    <w:rsid w:val="00E42CB5"/>
    <w:rsid w:val="00E47A70"/>
    <w:rsid w:val="00EB3E0D"/>
    <w:rsid w:val="00EF51EB"/>
    <w:rsid w:val="00F2435B"/>
    <w:rsid w:val="00F3543B"/>
    <w:rsid w:val="00F57349"/>
    <w:rsid w:val="00FC0B64"/>
    <w:rsid w:val="00FD0038"/>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B421"/>
  <w15:chartTrackingRefBased/>
  <w15:docId w15:val="{6E9F7C3E-FA7E-4FE2-A242-831537D8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1B6"/>
    <w:pPr>
      <w:ind w:left="720"/>
      <w:contextualSpacing/>
    </w:pPr>
  </w:style>
  <w:style w:type="table" w:styleId="TableGrid">
    <w:name w:val="Table Grid"/>
    <w:basedOn w:val="TableNormal"/>
    <w:uiPriority w:val="39"/>
    <w:rsid w:val="0055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0235"/>
    <w:rPr>
      <w:sz w:val="16"/>
      <w:szCs w:val="16"/>
    </w:rPr>
  </w:style>
  <w:style w:type="paragraph" w:styleId="CommentText">
    <w:name w:val="annotation text"/>
    <w:basedOn w:val="Normal"/>
    <w:link w:val="CommentTextChar"/>
    <w:uiPriority w:val="99"/>
    <w:semiHidden/>
    <w:unhideWhenUsed/>
    <w:rsid w:val="00C70235"/>
    <w:pPr>
      <w:spacing w:line="240" w:lineRule="auto"/>
    </w:pPr>
    <w:rPr>
      <w:sz w:val="20"/>
      <w:szCs w:val="20"/>
    </w:rPr>
  </w:style>
  <w:style w:type="character" w:customStyle="1" w:styleId="CommentTextChar">
    <w:name w:val="Comment Text Char"/>
    <w:basedOn w:val="DefaultParagraphFont"/>
    <w:link w:val="CommentText"/>
    <w:uiPriority w:val="99"/>
    <w:semiHidden/>
    <w:rsid w:val="00C70235"/>
    <w:rPr>
      <w:sz w:val="20"/>
      <w:szCs w:val="20"/>
    </w:rPr>
  </w:style>
  <w:style w:type="paragraph" w:styleId="CommentSubject">
    <w:name w:val="annotation subject"/>
    <w:basedOn w:val="CommentText"/>
    <w:next w:val="CommentText"/>
    <w:link w:val="CommentSubjectChar"/>
    <w:uiPriority w:val="99"/>
    <w:semiHidden/>
    <w:unhideWhenUsed/>
    <w:rsid w:val="00C70235"/>
    <w:rPr>
      <w:b/>
      <w:bCs/>
    </w:rPr>
  </w:style>
  <w:style w:type="character" w:customStyle="1" w:styleId="CommentSubjectChar">
    <w:name w:val="Comment Subject Char"/>
    <w:basedOn w:val="CommentTextChar"/>
    <w:link w:val="CommentSubject"/>
    <w:uiPriority w:val="99"/>
    <w:semiHidden/>
    <w:rsid w:val="00C70235"/>
    <w:rPr>
      <w:b/>
      <w:bCs/>
      <w:sz w:val="20"/>
      <w:szCs w:val="20"/>
    </w:rPr>
  </w:style>
  <w:style w:type="paragraph" w:styleId="BalloonText">
    <w:name w:val="Balloon Text"/>
    <w:basedOn w:val="Normal"/>
    <w:link w:val="BalloonTextChar"/>
    <w:uiPriority w:val="99"/>
    <w:semiHidden/>
    <w:unhideWhenUsed/>
    <w:rsid w:val="00C7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235"/>
    <w:rPr>
      <w:rFonts w:ascii="Segoe UI" w:hAnsi="Segoe UI" w:cs="Segoe UI"/>
      <w:sz w:val="18"/>
      <w:szCs w:val="18"/>
    </w:rPr>
  </w:style>
  <w:style w:type="paragraph" w:styleId="FootnoteText">
    <w:name w:val="footnote text"/>
    <w:basedOn w:val="Normal"/>
    <w:link w:val="FootnoteTextChar"/>
    <w:uiPriority w:val="99"/>
    <w:semiHidden/>
    <w:unhideWhenUsed/>
    <w:rsid w:val="00C70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235"/>
    <w:rPr>
      <w:sz w:val="20"/>
      <w:szCs w:val="20"/>
    </w:rPr>
  </w:style>
  <w:style w:type="character" w:styleId="FootnoteReference">
    <w:name w:val="footnote reference"/>
    <w:basedOn w:val="DefaultParagraphFont"/>
    <w:uiPriority w:val="99"/>
    <w:semiHidden/>
    <w:unhideWhenUsed/>
    <w:rsid w:val="00C70235"/>
    <w:rPr>
      <w:vertAlign w:val="superscript"/>
    </w:rPr>
  </w:style>
  <w:style w:type="paragraph" w:styleId="EndnoteText">
    <w:name w:val="endnote text"/>
    <w:basedOn w:val="Normal"/>
    <w:link w:val="EndnoteTextChar"/>
    <w:uiPriority w:val="99"/>
    <w:semiHidden/>
    <w:unhideWhenUsed/>
    <w:rsid w:val="003D5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5BA8"/>
    <w:rPr>
      <w:sz w:val="20"/>
      <w:szCs w:val="20"/>
    </w:rPr>
  </w:style>
  <w:style w:type="character" w:styleId="EndnoteReference">
    <w:name w:val="endnote reference"/>
    <w:basedOn w:val="DefaultParagraphFont"/>
    <w:uiPriority w:val="99"/>
    <w:semiHidden/>
    <w:unhideWhenUsed/>
    <w:rsid w:val="003D5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61-4443-8B7C-DABAFA74225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561-4443-8B7C-DABAFA7422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561-4443-8B7C-DABAFA74225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561-4443-8B7C-DABAFA74225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561-4443-8B7C-DABAFA74225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561-4443-8B7C-DABAFA74225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561-4443-8B7C-DABAFA742252}"/>
              </c:ext>
            </c:extLst>
          </c:dPt>
          <c:dLbls>
            <c:dLbl>
              <c:idx val="0"/>
              <c:layout>
                <c:manualLayout>
                  <c:x val="-8.2870039507921739E-2"/>
                  <c:y val="-0.12197627948511611"/>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3527476349323828"/>
                      <c:h val="9.8404484691677452E-2"/>
                    </c:manualLayout>
                  </c15:layout>
                </c:ext>
                <c:ext xmlns:c16="http://schemas.microsoft.com/office/drawing/2014/chart" uri="{C3380CC4-5D6E-409C-BE32-E72D297353CC}">
                  <c16:uniqueId val="{00000001-9561-4443-8B7C-DABAFA742252}"/>
                </c:ext>
              </c:extLst>
            </c:dLbl>
            <c:dLbl>
              <c:idx val="1"/>
              <c:layout>
                <c:manualLayout>
                  <c:x val="0.12974201093837145"/>
                  <c:y val="-2.13406538930369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561-4443-8B7C-DABAFA742252}"/>
                </c:ext>
              </c:extLst>
            </c:dLbl>
            <c:dLbl>
              <c:idx val="2"/>
              <c:layout>
                <c:manualLayout>
                  <c:x val="1.0641478864428238E-2"/>
                  <c:y val="9.0081252780013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561-4443-8B7C-DABAFA742252}"/>
                </c:ext>
              </c:extLst>
            </c:dLbl>
            <c:dLbl>
              <c:idx val="6"/>
              <c:layout>
                <c:manualLayout>
                  <c:x val="0.11691153236871515"/>
                  <c:y val="-3.22084254345309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561-4443-8B7C-DABAFA74225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Academic Salaries</c:v>
                </c:pt>
                <c:pt idx="1">
                  <c:v>Classified Salaries</c:v>
                </c:pt>
                <c:pt idx="2">
                  <c:v>Employee Benefits</c:v>
                </c:pt>
                <c:pt idx="3">
                  <c:v>Books, Supplies &amp; Materials</c:v>
                </c:pt>
                <c:pt idx="4">
                  <c:v>Other Operating Expenses</c:v>
                </c:pt>
                <c:pt idx="5">
                  <c:v>Capital Outlay</c:v>
                </c:pt>
                <c:pt idx="6">
                  <c:v>Interfund Transfers/Other Outgo</c:v>
                </c:pt>
              </c:strCache>
            </c:strRef>
          </c:cat>
          <c:val>
            <c:numRef>
              <c:f>Sheet1!$B$2:$B$8</c:f>
              <c:numCache>
                <c:formatCode>"$"#,##0</c:formatCode>
                <c:ptCount val="7"/>
                <c:pt idx="0">
                  <c:v>154911333</c:v>
                </c:pt>
                <c:pt idx="1">
                  <c:v>90864269</c:v>
                </c:pt>
                <c:pt idx="2">
                  <c:v>106265136</c:v>
                </c:pt>
                <c:pt idx="3">
                  <c:v>12084390</c:v>
                </c:pt>
                <c:pt idx="4">
                  <c:v>34057638</c:v>
                </c:pt>
                <c:pt idx="5">
                  <c:v>2641556</c:v>
                </c:pt>
                <c:pt idx="6">
                  <c:v>50625748</c:v>
                </c:pt>
              </c:numCache>
            </c:numRef>
          </c:val>
          <c:extLst>
            <c:ext xmlns:c16="http://schemas.microsoft.com/office/drawing/2014/chart" uri="{C3380CC4-5D6E-409C-BE32-E72D297353CC}">
              <c16:uniqueId val="{00000000-80F9-4E1B-B763-49AC1E87FC8C}"/>
            </c:ext>
          </c:extLst>
        </c:ser>
        <c:ser>
          <c:idx val="1"/>
          <c:order val="1"/>
          <c:tx>
            <c:strRef>
              <c:f>Sheet1!$C$1</c:f>
              <c:strCache>
                <c:ptCount val="1"/>
                <c:pt idx="0">
                  <c:v>Column1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9561-4443-8B7C-DABAFA74225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9561-4443-8B7C-DABAFA7422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9561-4443-8B7C-DABAFA74225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5-9561-4443-8B7C-DABAFA74225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7-9561-4443-8B7C-DABAFA74225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9-9561-4443-8B7C-DABAFA74225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9561-4443-8B7C-DABAFA742252}"/>
              </c:ext>
            </c:extLst>
          </c:dPt>
          <c:cat>
            <c:strRef>
              <c:f>Sheet1!$A$2:$A$8</c:f>
              <c:strCache>
                <c:ptCount val="7"/>
                <c:pt idx="0">
                  <c:v>Academic Salaries</c:v>
                </c:pt>
                <c:pt idx="1">
                  <c:v>Classified Salaries</c:v>
                </c:pt>
                <c:pt idx="2">
                  <c:v>Employee Benefits</c:v>
                </c:pt>
                <c:pt idx="3">
                  <c:v>Books, Supplies &amp; Materials</c:v>
                </c:pt>
                <c:pt idx="4">
                  <c:v>Other Operating Expenses</c:v>
                </c:pt>
                <c:pt idx="5">
                  <c:v>Capital Outlay</c:v>
                </c:pt>
                <c:pt idx="6">
                  <c:v>Interfund Transfers/Other Outgo</c:v>
                </c:pt>
              </c:strCache>
            </c:strRef>
          </c:cat>
          <c:val>
            <c:numRef>
              <c:f>Sheet1!$C$2:$C$8</c:f>
              <c:numCache>
                <c:formatCode>0%</c:formatCode>
                <c:ptCount val="7"/>
                <c:pt idx="0">
                  <c:v>0.34</c:v>
                </c:pt>
                <c:pt idx="1">
                  <c:v>0.2</c:v>
                </c:pt>
                <c:pt idx="2">
                  <c:v>0.24</c:v>
                </c:pt>
                <c:pt idx="3">
                  <c:v>0.03</c:v>
                </c:pt>
                <c:pt idx="4">
                  <c:v>0.08</c:v>
                </c:pt>
                <c:pt idx="5">
                  <c:v>0.01</c:v>
                </c:pt>
                <c:pt idx="6">
                  <c:v>0.11</c:v>
                </c:pt>
              </c:numCache>
            </c:numRef>
          </c:val>
          <c:extLst>
            <c:ext xmlns:c16="http://schemas.microsoft.com/office/drawing/2014/chart" uri="{C3380CC4-5D6E-409C-BE32-E72D297353CC}">
              <c16:uniqueId val="{00000001-80F9-4E1B-B763-49AC1E87FC8C}"/>
            </c:ext>
          </c:extLst>
        </c:ser>
        <c:ser>
          <c:idx val="2"/>
          <c:order val="2"/>
          <c:tx>
            <c:strRef>
              <c:f>Sheet1!$D$1</c:f>
              <c:strCache>
                <c:ptCount val="1"/>
                <c:pt idx="0">
                  <c:v>Column12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D-9561-4443-8B7C-DABAFA74225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F-9561-4443-8B7C-DABAFA7422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1-9561-4443-8B7C-DABAFA74225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3-9561-4443-8B7C-DABAFA74225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5-9561-4443-8B7C-DABAFA74225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7-9561-4443-8B7C-DABAFA74225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9561-4443-8B7C-DABAFA742252}"/>
              </c:ext>
            </c:extLst>
          </c:dPt>
          <c:cat>
            <c:strRef>
              <c:f>Sheet1!$A$2:$A$8</c:f>
              <c:strCache>
                <c:ptCount val="7"/>
                <c:pt idx="0">
                  <c:v>Academic Salaries</c:v>
                </c:pt>
                <c:pt idx="1">
                  <c:v>Classified Salaries</c:v>
                </c:pt>
                <c:pt idx="2">
                  <c:v>Employee Benefits</c:v>
                </c:pt>
                <c:pt idx="3">
                  <c:v>Books, Supplies &amp; Materials</c:v>
                </c:pt>
                <c:pt idx="4">
                  <c:v>Other Operating Expenses</c:v>
                </c:pt>
                <c:pt idx="5">
                  <c:v>Capital Outlay</c:v>
                </c:pt>
                <c:pt idx="6">
                  <c:v>Interfund Transfers/Other Outgo</c:v>
                </c:pt>
              </c:strCache>
            </c:strRef>
          </c:cat>
          <c:val>
            <c:numRef>
              <c:f>Sheet1!$D$2:$D$8</c:f>
              <c:numCache>
                <c:formatCode>General</c:formatCode>
                <c:ptCount val="7"/>
                <c:pt idx="2" formatCode="&quot;$&quot;#,##0">
                  <c:v>352040738</c:v>
                </c:pt>
              </c:numCache>
            </c:numRef>
          </c:val>
          <c:extLst>
            <c:ext xmlns:c16="http://schemas.microsoft.com/office/drawing/2014/chart" uri="{C3380CC4-5D6E-409C-BE32-E72D297353CC}">
              <c16:uniqueId val="{00000002-80F9-4E1B-B763-49AC1E87FC8C}"/>
            </c:ext>
          </c:extLst>
        </c:ser>
        <c:ser>
          <c:idx val="3"/>
          <c:order val="3"/>
          <c:tx>
            <c:strRef>
              <c:f>Sheet1!$E$1</c:f>
              <c:strCache>
                <c:ptCount val="1"/>
                <c:pt idx="0">
                  <c:v>Column13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B-9561-4443-8B7C-DABAFA74225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2D-9561-4443-8B7C-DABAFA7422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F-9561-4443-8B7C-DABAFA74225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31-9561-4443-8B7C-DABAFA74225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33-9561-4443-8B7C-DABAFA74225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35-9561-4443-8B7C-DABAFA74225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9561-4443-8B7C-DABAFA742252}"/>
              </c:ext>
            </c:extLst>
          </c:dPt>
          <c:cat>
            <c:strRef>
              <c:f>Sheet1!$A$2:$A$8</c:f>
              <c:strCache>
                <c:ptCount val="7"/>
                <c:pt idx="0">
                  <c:v>Academic Salaries</c:v>
                </c:pt>
                <c:pt idx="1">
                  <c:v>Classified Salaries</c:v>
                </c:pt>
                <c:pt idx="2">
                  <c:v>Employee Benefits</c:v>
                </c:pt>
                <c:pt idx="3">
                  <c:v>Books, Supplies &amp; Materials</c:v>
                </c:pt>
                <c:pt idx="4">
                  <c:v>Other Operating Expenses</c:v>
                </c:pt>
                <c:pt idx="5">
                  <c:v>Capital Outlay</c:v>
                </c:pt>
                <c:pt idx="6">
                  <c:v>Interfund Transfers/Other Outgo</c:v>
                </c:pt>
              </c:strCache>
            </c:strRef>
          </c:cat>
          <c:val>
            <c:numRef>
              <c:f>Sheet1!$E$2:$E$8</c:f>
              <c:numCache>
                <c:formatCode>General</c:formatCode>
                <c:ptCount val="7"/>
                <c:pt idx="0">
                  <c:v>0</c:v>
                </c:pt>
                <c:pt idx="1">
                  <c:v>0</c:v>
                </c:pt>
                <c:pt idx="2" formatCode="0%">
                  <c:v>0.77979994110976658</c:v>
                </c:pt>
                <c:pt idx="3">
                  <c:v>0</c:v>
                </c:pt>
                <c:pt idx="4">
                  <c:v>0</c:v>
                </c:pt>
                <c:pt idx="5">
                  <c:v>0</c:v>
                </c:pt>
                <c:pt idx="6">
                  <c:v>0</c:v>
                </c:pt>
              </c:numCache>
            </c:numRef>
          </c:val>
          <c:extLst>
            <c:ext xmlns:c16="http://schemas.microsoft.com/office/drawing/2014/chart" uri="{C3380CC4-5D6E-409C-BE32-E72D297353CC}">
              <c16:uniqueId val="{00000003-80F9-4E1B-B763-49AC1E87FC8C}"/>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1">
                <a:solidFill>
                  <a:sysClr val="windowText" lastClr="000000"/>
                </a:solidFill>
              </a:rPr>
              <a:t>General</a:t>
            </a:r>
            <a:r>
              <a:rPr lang="en-US" b="1" baseline="0">
                <a:solidFill>
                  <a:sysClr val="windowText" lastClr="000000"/>
                </a:solidFill>
              </a:rPr>
              <a:t> Fund Interfund Transfer/Other Outgo</a:t>
            </a:r>
            <a:endParaRPr lang="en-US" b="1">
              <a:solidFill>
                <a:sysClr val="windowText" lastClr="000000"/>
              </a:solidFill>
            </a:endParaRPr>
          </a:p>
        </c:rich>
      </c:tx>
      <c:layout>
        <c:manualLayout>
          <c:xMode val="edge"/>
          <c:yMode val="edge"/>
          <c:x val="0.21918981481481481"/>
          <c:y val="2.777777777777777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2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277777777777762E-2"/>
          <c:y val="0.19130702412198475"/>
          <c:w val="0.82407407407407407"/>
          <c:h val="0.69710817397825275"/>
        </c:manualLayout>
      </c:layout>
      <c:pie3DChart>
        <c:varyColors val="1"/>
        <c:ser>
          <c:idx val="0"/>
          <c:order val="0"/>
          <c:tx>
            <c:strRef>
              <c:f>Sheet1!$B$1</c:f>
              <c:strCache>
                <c:ptCount val="1"/>
                <c:pt idx="0">
                  <c:v>7000 Accounts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2-8465-4445-B7D9-625738CE5263}"/>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8465-4445-B7D9-625738CE5263}"/>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8465-4445-B7D9-625738CE5263}"/>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4-8465-4445-B7D9-625738CE5263}"/>
              </c:ext>
            </c:extLst>
          </c:dPt>
          <c:dLbls>
            <c:dLbl>
              <c:idx val="0"/>
              <c:layout>
                <c:manualLayout>
                  <c:x val="-0.10995361256926217"/>
                  <c:y val="2.1825396825396817E-2"/>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5754137503645377"/>
                      <c:h val="0.16391326084239469"/>
                    </c:manualLayout>
                  </c15:layout>
                </c:ext>
                <c:ext xmlns:c16="http://schemas.microsoft.com/office/drawing/2014/chart" uri="{C3380CC4-5D6E-409C-BE32-E72D297353CC}">
                  <c16:uniqueId val="{00000002-8465-4445-B7D9-625738CE5263}"/>
                </c:ext>
              </c:extLst>
            </c:dLbl>
            <c:dLbl>
              <c:idx val="1"/>
              <c:layout>
                <c:manualLayout>
                  <c:x val="-2.4305555555555636E-2"/>
                  <c:y val="0.15079365079365065"/>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902012248468942"/>
                      <c:h val="0.13180102487189099"/>
                    </c:manualLayout>
                  </c15:layout>
                </c:ext>
                <c:ext xmlns:c16="http://schemas.microsoft.com/office/drawing/2014/chart" uri="{C3380CC4-5D6E-409C-BE32-E72D297353CC}">
                  <c16:uniqueId val="{00000003-8465-4445-B7D9-625738CE5263}"/>
                </c:ext>
              </c:extLst>
            </c:dLbl>
            <c:dLbl>
              <c:idx val="2"/>
              <c:layout>
                <c:manualLayout>
                  <c:x val="-1.5046296296296283E-2"/>
                  <c:y val="3.9682539682539611E-3"/>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1295457859434239"/>
                      <c:h val="0.1556105486814148"/>
                    </c:manualLayout>
                  </c15:layout>
                </c:ext>
                <c:ext xmlns:c16="http://schemas.microsoft.com/office/drawing/2014/chart" uri="{C3380CC4-5D6E-409C-BE32-E72D297353CC}">
                  <c16:uniqueId val="{00000005-8465-4445-B7D9-625738CE5263}"/>
                </c:ext>
              </c:extLst>
            </c:dLbl>
            <c:dLbl>
              <c:idx val="3"/>
              <c:layout>
                <c:manualLayout>
                  <c:x val="-8.1018518518518434E-2"/>
                  <c:y val="0.103174603174603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465-4445-B7D9-625738CE5263}"/>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3"/>
                <c:pt idx="0">
                  <c:v>Transfer to other funds</c:v>
                </c:pt>
                <c:pt idx="1">
                  <c:v>Student Financial Aid</c:v>
                </c:pt>
                <c:pt idx="2">
                  <c:v>Payments to Students</c:v>
                </c:pt>
              </c:strCache>
            </c:strRef>
          </c:cat>
          <c:val>
            <c:numRef>
              <c:f>Sheet1!$B$2:$B$5</c:f>
              <c:numCache>
                <c:formatCode>#,##0</c:formatCode>
                <c:ptCount val="4"/>
                <c:pt idx="0">
                  <c:v>25458877</c:v>
                </c:pt>
                <c:pt idx="1">
                  <c:v>20955681</c:v>
                </c:pt>
                <c:pt idx="2">
                  <c:v>4211189</c:v>
                </c:pt>
              </c:numCache>
            </c:numRef>
          </c:val>
          <c:extLst>
            <c:ext xmlns:c16="http://schemas.microsoft.com/office/drawing/2014/chart" uri="{C3380CC4-5D6E-409C-BE32-E72D297353CC}">
              <c16:uniqueId val="{00000000-8465-4445-B7D9-625738CE5263}"/>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1">
                <a:solidFill>
                  <a:sysClr val="windowText" lastClr="000000"/>
                </a:solidFill>
              </a:rPr>
              <a:t>Fund 11, Unrestricted Expenditures</a:t>
            </a:r>
          </a:p>
        </c:rich>
      </c:tx>
      <c:layout>
        <c:manualLayout>
          <c:xMode val="edge"/>
          <c:yMode val="edge"/>
          <c:x val="0.21102002515707305"/>
          <c:y val="2.7777880093289423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1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277777777777762E-2"/>
          <c:y val="0.19130702412198475"/>
          <c:w val="0.82407407407407407"/>
          <c:h val="0.69710817397825275"/>
        </c:manualLayout>
      </c:layout>
      <c:pie3DChart>
        <c:varyColors val="1"/>
        <c:ser>
          <c:idx val="0"/>
          <c:order val="0"/>
          <c:tx>
            <c:strRef>
              <c:f>Sheet1!$B$1</c:f>
              <c:strCache>
                <c:ptCount val="1"/>
                <c:pt idx="0">
                  <c:v>Fund 11 Expenditures</c:v>
                </c:pt>
              </c:strCache>
            </c:strRef>
          </c:tx>
          <c:spPr>
            <a:ln>
              <a:solidFill>
                <a:sysClr val="windowText" lastClr="000000">
                  <a:lumMod val="25000"/>
                  <a:lumOff val="75000"/>
                </a:sysClr>
              </a:solidFill>
            </a:ln>
          </c:spPr>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1-1F79-4EB3-9046-2D4C3114D071}"/>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3-1F79-4EB3-9046-2D4C3114D071}"/>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5-1F79-4EB3-9046-2D4C3114D071}"/>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7-1F79-4EB3-9046-2D4C3114D071}"/>
              </c:ext>
            </c:extLst>
          </c:dPt>
          <c:dLbls>
            <c:dLbl>
              <c:idx val="0"/>
              <c:layout>
                <c:manualLayout>
                  <c:x val="0"/>
                  <c:y val="-0.1111111111111111"/>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1F79-4EB3-9046-2D4C3114D071}"/>
                </c:ext>
              </c:extLst>
            </c:dLbl>
            <c:dLbl>
              <c:idx val="1"/>
              <c:layout>
                <c:manualLayout>
                  <c:x val="-2.5381772864849068E-2"/>
                  <c:y val="-0.18534525625291948"/>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1F79-4EB3-9046-2D4C3114D071}"/>
                </c:ext>
              </c:extLst>
            </c:dLbl>
            <c:dLbl>
              <c:idx val="2"/>
              <c:layout>
                <c:manualLayout>
                  <c:x val="-2.6870885395674773E-3"/>
                  <c:y val="-4.1647733646307257E-2"/>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1F79-4EB3-9046-2D4C3114D071}"/>
                </c:ext>
              </c:extLst>
            </c:dLbl>
            <c:dLbl>
              <c:idx val="3"/>
              <c:layout>
                <c:manualLayout>
                  <c:x val="-8.1018518518518434E-2"/>
                  <c:y val="0.10317460317460317"/>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1F79-4EB3-9046-2D4C3114D071}"/>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4"/>
                <c:pt idx="0">
                  <c:v>Salaries &amp; Benefits</c:v>
                </c:pt>
                <c:pt idx="1">
                  <c:v>Books, Supplies &amp; Materials</c:v>
                </c:pt>
                <c:pt idx="2">
                  <c:v>Capital Outlay</c:v>
                </c:pt>
                <c:pt idx="3">
                  <c:v>Interfund Transers/Other Outgo</c:v>
                </c:pt>
              </c:strCache>
            </c:strRef>
          </c:cat>
          <c:val>
            <c:numRef>
              <c:f>Sheet1!$B$2:$B$5</c:f>
              <c:numCache>
                <c:formatCode>#,##0</c:formatCode>
                <c:ptCount val="4"/>
                <c:pt idx="0">
                  <c:v>293073879</c:v>
                </c:pt>
                <c:pt idx="1">
                  <c:v>19750386</c:v>
                </c:pt>
                <c:pt idx="2">
                  <c:v>607776</c:v>
                </c:pt>
                <c:pt idx="3">
                  <c:v>15973739</c:v>
                </c:pt>
              </c:numCache>
            </c:numRef>
          </c:val>
          <c:extLst>
            <c:ext xmlns:c16="http://schemas.microsoft.com/office/drawing/2014/chart" uri="{C3380CC4-5D6E-409C-BE32-E72D297353CC}">
              <c16:uniqueId val="{00000008-1F79-4EB3-9046-2D4C3114D071}"/>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ln>
                  <a:noFill/>
                </a:ln>
                <a:solidFill>
                  <a:schemeClr val="tx1">
                    <a:lumMod val="50000"/>
                    <a:lumOff val="50000"/>
                  </a:schemeClr>
                </a:solidFill>
                <a:latin typeface="+mn-lt"/>
                <a:ea typeface="+mn-ea"/>
                <a:cs typeface="+mn-cs"/>
              </a:defRPr>
            </a:pPr>
            <a:r>
              <a:rPr lang="en-US" b="1">
                <a:solidFill>
                  <a:sysClr val="windowText" lastClr="000000"/>
                </a:solidFill>
              </a:rPr>
              <a:t>Fund 12, Restricted Expenditures</a:t>
            </a:r>
          </a:p>
        </c:rich>
      </c:tx>
      <c:layout>
        <c:manualLayout>
          <c:xMode val="edge"/>
          <c:yMode val="edge"/>
          <c:x val="0.29070450422843969"/>
          <c:y val="3.6317636853890271E-2"/>
        </c:manualLayout>
      </c:layout>
      <c:overlay val="0"/>
      <c:spPr>
        <a:noFill/>
        <a:ln>
          <a:noFill/>
        </a:ln>
        <a:effectLst/>
      </c:spPr>
      <c:txPr>
        <a:bodyPr rot="0" spcFirstLastPara="1" vertOverflow="ellipsis" vert="horz" wrap="square" anchor="ctr" anchorCtr="1"/>
        <a:lstStyle/>
        <a:p>
          <a:pPr>
            <a:defRPr sz="1400" b="0" i="0" u="none" strike="noStrike" kern="1200" cap="none" spc="20" baseline="0">
              <a:ln>
                <a:noFill/>
              </a:ln>
              <a:solidFill>
                <a:schemeClr val="tx1">
                  <a:lumMod val="50000"/>
                  <a:lumOff val="50000"/>
                </a:schemeClr>
              </a:solidFill>
              <a:latin typeface="+mn-lt"/>
              <a:ea typeface="+mn-ea"/>
              <a:cs typeface="+mn-cs"/>
            </a:defRPr>
          </a:pPr>
          <a:endParaRPr lang="en-US"/>
        </a:p>
      </c:txPr>
    </c:title>
    <c:autoTitleDeleted val="0"/>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277777777777762E-2"/>
          <c:y val="0.19130702412198475"/>
          <c:w val="0.82407407407407407"/>
          <c:h val="0.69710817397825275"/>
        </c:manualLayout>
      </c:layout>
      <c:pie3DChart>
        <c:varyColors val="1"/>
        <c:ser>
          <c:idx val="0"/>
          <c:order val="0"/>
          <c:tx>
            <c:strRef>
              <c:f>Sheet1!$B$1</c:f>
              <c:strCache>
                <c:ptCount val="1"/>
                <c:pt idx="0">
                  <c:v>Fund 12 Expenditures</c:v>
                </c:pt>
              </c:strCache>
            </c:strRef>
          </c:tx>
          <c:spPr>
            <a:ln>
              <a:solidFill>
                <a:sysClr val="windowText" lastClr="000000">
                  <a:lumMod val="25000"/>
                  <a:lumOff val="75000"/>
                </a:sysClr>
              </a:solidFill>
            </a:ln>
          </c:spPr>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1-9714-447F-812D-E663D7D9F97B}"/>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3-9714-447F-812D-E663D7D9F97B}"/>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5-9714-447F-812D-E663D7D9F97B}"/>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solidFill>
                  <a:sysClr val="windowText" lastClr="000000">
                    <a:lumMod val="25000"/>
                    <a:lumOff val="75000"/>
                  </a:sysClr>
                </a:solidFill>
              </a:ln>
              <a:effectLst/>
              <a:sp3d>
                <a:contourClr>
                  <a:sysClr val="windowText" lastClr="000000">
                    <a:lumMod val="25000"/>
                    <a:lumOff val="75000"/>
                  </a:sysClr>
                </a:contourClr>
              </a:sp3d>
            </c:spPr>
            <c:extLst>
              <c:ext xmlns:c16="http://schemas.microsoft.com/office/drawing/2014/chart" uri="{C3380CC4-5D6E-409C-BE32-E72D297353CC}">
                <c16:uniqueId val="{00000007-9714-447F-812D-E663D7D9F97B}"/>
              </c:ext>
            </c:extLst>
          </c:dPt>
          <c:dLbls>
            <c:dLbl>
              <c:idx val="0"/>
              <c:layout>
                <c:manualLayout>
                  <c:x val="0"/>
                  <c:y val="-0.111111111111111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714-447F-812D-E663D7D9F97B}"/>
                </c:ext>
              </c:extLst>
            </c:dLbl>
            <c:dLbl>
              <c:idx val="1"/>
              <c:layout>
                <c:manualLayout>
                  <c:x val="-9.2591739408543448E-3"/>
                  <c:y val="-0.103007389874728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14-447F-812D-E663D7D9F97B}"/>
                </c:ext>
              </c:extLst>
            </c:dLbl>
            <c:dLbl>
              <c:idx val="2"/>
              <c:layout>
                <c:manualLayout>
                  <c:x val="3.2407407407407406E-2"/>
                  <c:y val="-0.130952380952381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14-447F-812D-E663D7D9F97B}"/>
                </c:ext>
              </c:extLst>
            </c:dLbl>
            <c:dLbl>
              <c:idx val="3"/>
              <c:layout>
                <c:manualLayout>
                  <c:x val="9.8597805904279551E-2"/>
                  <c:y val="-2.988898377455166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14-447F-812D-E663D7D9F97B}"/>
                </c:ext>
              </c:extLst>
            </c:dLbl>
            <c:spPr>
              <a:no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4"/>
                <c:pt idx="0">
                  <c:v>Salaries &amp; Benefits</c:v>
                </c:pt>
                <c:pt idx="1">
                  <c:v>Books, Supplies &amp; Materials</c:v>
                </c:pt>
                <c:pt idx="2">
                  <c:v>Capital Outlay</c:v>
                </c:pt>
                <c:pt idx="3">
                  <c:v>Interfund Transers/Other Outgo</c:v>
                </c:pt>
              </c:strCache>
            </c:strRef>
          </c:cat>
          <c:val>
            <c:numRef>
              <c:f>Sheet1!$B$2:$B$5</c:f>
              <c:numCache>
                <c:formatCode>#,##0</c:formatCode>
                <c:ptCount val="4"/>
                <c:pt idx="0">
                  <c:v>64526094</c:v>
                </c:pt>
                <c:pt idx="1">
                  <c:v>26391642</c:v>
                </c:pt>
                <c:pt idx="2">
                  <c:v>2033780</c:v>
                </c:pt>
                <c:pt idx="3">
                  <c:v>34652009</c:v>
                </c:pt>
              </c:numCache>
            </c:numRef>
          </c:val>
          <c:extLst>
            <c:ext xmlns:c16="http://schemas.microsoft.com/office/drawing/2014/chart" uri="{C3380CC4-5D6E-409C-BE32-E72D297353CC}">
              <c16:uniqueId val="{00000008-9714-447F-812D-E663D7D9F97B}"/>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Restricted Revenue - Excluding HEERF Funding*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24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870955515495941E-2"/>
          <c:y val="0.14976392911702946"/>
          <c:w val="0.84231543557426736"/>
          <c:h val="0.76347380407893084"/>
        </c:manualLayout>
      </c:layout>
      <c:pie3DChart>
        <c:varyColors val="1"/>
        <c:ser>
          <c:idx val="0"/>
          <c:order val="0"/>
          <c:tx>
            <c:strRef>
              <c:f>Sheet1!$B$1</c:f>
              <c:strCache>
                <c:ptCount val="1"/>
                <c:pt idx="0">
                  <c:v>Revenue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B9-4F93-AA2A-D42372252F0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69B9-4F93-AA2A-D42372252F0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B9-4F93-AA2A-D42372252F0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69B9-4F93-AA2A-D42372252F0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7-69B9-4F93-AA2A-D42372252F01}"/>
              </c:ext>
            </c:extLst>
          </c:dPt>
          <c:dLbls>
            <c:dLbl>
              <c:idx val="0"/>
              <c:layout>
                <c:manualLayout>
                  <c:x val="-3.611068542891803E-2"/>
                  <c:y val="9.3493418976468578E-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B9-4F93-AA2A-D42372252F01}"/>
                </c:ext>
              </c:extLst>
            </c:dLbl>
            <c:dLbl>
              <c:idx val="1"/>
              <c:layout>
                <c:manualLayout>
                  <c:x val="-6.1114575059338795E-2"/>
                  <c:y val="-9.498931370220850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9B9-4F93-AA2A-D42372252F01}"/>
                </c:ext>
              </c:extLst>
            </c:dLbl>
            <c:dLbl>
              <c:idx val="2"/>
              <c:layout>
                <c:manualLayout>
                  <c:x val="6.4653495344726544E-2"/>
                  <c:y val="-5.46188553787699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9B9-4F93-AA2A-D42372252F01}"/>
                </c:ext>
              </c:extLst>
            </c:dLbl>
            <c:dLbl>
              <c:idx val="3"/>
              <c:layout>
                <c:manualLayout>
                  <c:x val="-1.4856633486852969E-3"/>
                  <c:y val="0.1127330222166163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9B9-4F93-AA2A-D42372252F01}"/>
                </c:ext>
              </c:extLst>
            </c:dLbl>
            <c:dLbl>
              <c:idx val="4"/>
              <c:layout>
                <c:manualLayout>
                  <c:x val="-0.18943295622440304"/>
                  <c:y val="-2.374732842555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9B9-4F93-AA2A-D42372252F0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American River College</c:v>
                </c:pt>
                <c:pt idx="1">
                  <c:v>Cosumnes River College</c:v>
                </c:pt>
                <c:pt idx="2">
                  <c:v>Folsom Lake College</c:v>
                </c:pt>
                <c:pt idx="3">
                  <c:v>Sacramento City College</c:v>
                </c:pt>
                <c:pt idx="4">
                  <c:v>District-Wide</c:v>
                </c:pt>
              </c:strCache>
            </c:strRef>
          </c:cat>
          <c:val>
            <c:numRef>
              <c:f>Sheet1!$B$2:$B$6</c:f>
              <c:numCache>
                <c:formatCode>#,##0</c:formatCode>
                <c:ptCount val="5"/>
                <c:pt idx="0">
                  <c:v>47613552</c:v>
                </c:pt>
                <c:pt idx="1">
                  <c:v>19221914</c:v>
                </c:pt>
                <c:pt idx="2">
                  <c:v>16871713</c:v>
                </c:pt>
                <c:pt idx="3">
                  <c:v>33575369</c:v>
                </c:pt>
                <c:pt idx="4">
                  <c:v>31186554</c:v>
                </c:pt>
              </c:numCache>
            </c:numRef>
          </c:val>
          <c:extLst>
            <c:ext xmlns:c16="http://schemas.microsoft.com/office/drawing/2014/chart" uri="{C3380CC4-5D6E-409C-BE32-E72D297353CC}">
              <c16:uniqueId val="{00000000-69B9-4F93-AA2A-D42372252F0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2364-0F31-4E9C-A0FB-2DF9DFEF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Carrie</dc:creator>
  <cp:keywords/>
  <dc:description/>
  <cp:lastModifiedBy>Julie Oliver</cp:lastModifiedBy>
  <cp:revision>2</cp:revision>
  <dcterms:created xsi:type="dcterms:W3CDTF">2022-03-31T00:06:00Z</dcterms:created>
  <dcterms:modified xsi:type="dcterms:W3CDTF">2022-03-31T00:06:00Z</dcterms:modified>
</cp:coreProperties>
</file>